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GvdeMetni"/>
        <w:rPr>
          <w:b/>
          <w:sz w:val="30"/>
        </w:rPr>
      </w:pPr>
    </w:p>
    <w:p>
      <w:pPr>
        <w:pStyle w:val="GvdeMetni"/>
        <w:rPr>
          <w:b/>
          <w:sz w:val="30"/>
        </w:rPr>
      </w:pPr>
    </w:p>
    <w:p>
      <w:pPr>
        <w:pStyle w:val="GvdeMetni"/>
        <w:rPr>
          <w:b/>
          <w:sz w:val="30"/>
        </w:rPr>
      </w:pPr>
    </w:p>
    <w:p>
      <w:pPr>
        <w:pStyle w:val="GvdeMetni"/>
        <w:rPr>
          <w:b/>
          <w:sz w:val="30"/>
        </w:rPr>
      </w:pPr>
    </w:p>
    <w:p>
      <w:pPr>
        <w:pStyle w:val="GvdeMetni"/>
        <w:rPr>
          <w:b/>
          <w:sz w:val="30"/>
        </w:rPr>
      </w:pPr>
    </w:p>
    <w:p>
      <w:pPr>
        <w:spacing w:before="1"/>
        <w:ind w:left="1" w:right="2"/>
        <w:jc w:val="center"/>
        <w:rPr>
          <w:rFonts w:ascii="Times New Roman" w:hAnsi="Times New Roman" w:cs="Times New Roman"/>
          <w:b/>
          <w:sz w:val="40"/>
        </w:rPr>
      </w:pPr>
      <w:r>
        <w:rPr>
          <w:rFonts w:ascii="Times New Roman" w:hAnsi="Times New Roman" w:cs="Times New Roman"/>
          <w:b/>
          <w:sz w:val="40"/>
        </w:rPr>
        <w:t xml:space="preserve">BİRİM ÖZ DEĞERLENDİRME </w:t>
      </w:r>
      <w:r>
        <w:rPr>
          <w:rFonts w:ascii="Times New Roman" w:hAnsi="Times New Roman" w:cs="Times New Roman"/>
          <w:b/>
          <w:spacing w:val="-2"/>
          <w:sz w:val="40"/>
        </w:rPr>
        <w:t>RAPORU</w:t>
      </w:r>
    </w:p>
    <w:p>
      <w:pPr>
        <w:pStyle w:val="GvdeMetni"/>
        <w:jc w:val="center"/>
        <w:rPr>
          <w:b/>
          <w:sz w:val="40"/>
        </w:rPr>
      </w:pPr>
    </w:p>
    <w:p>
      <w:pPr>
        <w:pStyle w:val="GvdeMetni"/>
        <w:jc w:val="center"/>
        <w:rPr>
          <w:b/>
          <w:sz w:val="40"/>
        </w:rPr>
      </w:pPr>
    </w:p>
    <w:p>
      <w:pPr>
        <w:pStyle w:val="GvdeMetni"/>
        <w:spacing w:before="230"/>
        <w:jc w:val="center"/>
        <w:rPr>
          <w:b/>
          <w:sz w:val="40"/>
        </w:rPr>
      </w:pPr>
    </w:p>
    <w:p>
      <w:pPr>
        <w:ind w:left="2" w:right="1"/>
        <w:jc w:val="center"/>
        <w:rPr>
          <w:rFonts w:ascii="Times New Roman" w:hAnsi="Times New Roman" w:cs="Times New Roman"/>
          <w:sz w:val="40"/>
        </w:rPr>
      </w:pPr>
      <w:r>
        <w:rPr>
          <w:rFonts w:ascii="Times New Roman" w:hAnsi="Times New Roman" w:cs="Times New Roman"/>
          <w:sz w:val="40"/>
        </w:rPr>
        <w:t xml:space="preserve">Giresun </w:t>
      </w:r>
      <w:r>
        <w:rPr>
          <w:rFonts w:ascii="Times New Roman" w:hAnsi="Times New Roman" w:cs="Times New Roman"/>
          <w:spacing w:val="-2"/>
          <w:sz w:val="40"/>
        </w:rPr>
        <w:t>Üniversitesi</w:t>
      </w:r>
    </w:p>
    <w:p>
      <w:pPr>
        <w:spacing w:line="1380" w:lineRule="atLeast"/>
        <w:rPr>
          <w:rFonts w:ascii="Times New Roman" w:hAnsi="Times New Roman" w:cs="Times New Roman"/>
          <w:sz w:val="40"/>
        </w:rPr>
      </w:pPr>
    </w:p>
    <w:p>
      <w:pPr>
        <w:spacing w:line="1380" w:lineRule="atLeast"/>
        <w:jc w:val="center"/>
        <w:rPr>
          <w:rFonts w:ascii="Times New Roman" w:hAnsi="Times New Roman" w:cs="Times New Roman"/>
          <w:b/>
          <w:sz w:val="40"/>
        </w:rPr>
      </w:pPr>
      <w:r>
        <w:rPr>
          <w:rFonts w:ascii="Times New Roman" w:hAnsi="Times New Roman" w:cs="Times New Roman"/>
          <w:b/>
          <w:sz w:val="40"/>
        </w:rPr>
        <w:t>Alucra Turan Bulutçu Meslek Yüksekokulu</w:t>
      </w:r>
    </w:p>
    <w:p>
      <w:pPr>
        <w:pStyle w:val="GvdeMetni"/>
        <w:jc w:val="center"/>
        <w:rPr>
          <w:b/>
          <w:sz w:val="40"/>
        </w:rPr>
      </w:pPr>
    </w:p>
    <w:p>
      <w:pPr>
        <w:pStyle w:val="GvdeMetni"/>
        <w:jc w:val="center"/>
        <w:rPr>
          <w:b/>
          <w:sz w:val="40"/>
        </w:rPr>
      </w:pPr>
    </w:p>
    <w:p>
      <w:pPr>
        <w:pStyle w:val="GvdeMetni"/>
        <w:jc w:val="center"/>
        <w:rPr>
          <w:b/>
          <w:sz w:val="40"/>
        </w:rPr>
      </w:pPr>
      <w:r>
        <w:rPr>
          <w:b/>
          <w:noProof/>
          <w:sz w:val="40"/>
          <w:lang w:eastAsia="tr-TR"/>
        </w:rPr>
        <w:drawing>
          <wp:anchor distT="0" distB="0" distL="114300" distR="114300" simplePos="0" relativeHeight="251659264" behindDoc="1" locked="0" layoutInCell="1" allowOverlap="1">
            <wp:simplePos x="0" y="0"/>
            <wp:positionH relativeFrom="margin">
              <wp:posOffset>1894840</wp:posOffset>
            </wp:positionH>
            <wp:positionV relativeFrom="margin">
              <wp:posOffset>5323840</wp:posOffset>
            </wp:positionV>
            <wp:extent cx="2004060" cy="1998345"/>
            <wp:effectExtent l="0" t="0" r="0" b="1905"/>
            <wp:wrapNone/>
            <wp:docPr id="12201638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63852" name="Resim 122016385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4060" cy="1998345"/>
                    </a:xfrm>
                    <a:prstGeom prst="rect">
                      <a:avLst/>
                    </a:prstGeom>
                  </pic:spPr>
                </pic:pic>
              </a:graphicData>
            </a:graphic>
          </wp:anchor>
        </w:drawing>
      </w: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pStyle w:val="GvdeMetni"/>
        <w:jc w:val="center"/>
        <w:rPr>
          <w:b/>
          <w:sz w:val="40"/>
        </w:rPr>
      </w:pPr>
    </w:p>
    <w:p>
      <w:pPr>
        <w:ind w:right="1"/>
        <w:jc w:val="center"/>
        <w:rPr>
          <w:rFonts w:ascii="Times New Roman" w:hAnsi="Times New Roman" w:cs="Times New Roman"/>
          <w:b/>
          <w:sz w:val="40"/>
        </w:rPr>
      </w:pPr>
      <w:r>
        <w:rPr>
          <w:rFonts w:ascii="Times New Roman" w:hAnsi="Times New Roman" w:cs="Times New Roman"/>
          <w:b/>
          <w:spacing w:val="-4"/>
          <w:sz w:val="40"/>
        </w:rPr>
        <w:t>2025</w:t>
      </w:r>
    </w:p>
    <w:p>
      <w:pPr>
        <w:jc w:val="center"/>
        <w:rPr>
          <w:rFonts w:ascii="Times New Roman" w:hAnsi="Times New Roman" w:cs="Times New Roman"/>
          <w:sz w:val="40"/>
        </w:rPr>
        <w:sectPr>
          <w:footerReference w:type="default" r:id="rId9"/>
          <w:pgSz w:w="11910" w:h="16840"/>
          <w:pgMar w:top="1360" w:right="1240" w:bottom="500" w:left="1240" w:header="0" w:footer="311" w:gutter="0"/>
          <w:cols w:space="708"/>
          <w:titlePg/>
          <w:docGrid w:linePitch="299"/>
        </w:sectPr>
      </w:pPr>
    </w:p>
    <w:p>
      <w:pPr>
        <w:pStyle w:val="GvdeMetni"/>
        <w:tabs>
          <w:tab w:val="left" w:pos="440"/>
        </w:tabs>
        <w:spacing w:before="120" w:after="120" w:line="360" w:lineRule="auto"/>
        <w:ind w:right="198"/>
        <w:jc w:val="both"/>
        <w:rPr>
          <w:rFonts w:eastAsiaTheme="majorEastAsia"/>
          <w:b/>
          <w:bCs/>
        </w:rPr>
      </w:pPr>
      <w:r>
        <w:rPr>
          <w:rFonts w:eastAsiaTheme="majorEastAsia"/>
          <w:b/>
          <w:bCs/>
        </w:rPr>
        <w:lastRenderedPageBreak/>
        <w:t>1. BİRİM HAKKINDA BİLGİLER</w:t>
      </w:r>
    </w:p>
    <w:p>
      <w:pPr>
        <w:pStyle w:val="GvdeMetni"/>
        <w:tabs>
          <w:tab w:val="left" w:pos="440"/>
        </w:tabs>
        <w:spacing w:before="120" w:after="120" w:line="360" w:lineRule="auto"/>
        <w:ind w:right="198"/>
        <w:jc w:val="both"/>
        <w:rPr>
          <w:rFonts w:eastAsiaTheme="majorEastAsia"/>
        </w:rPr>
      </w:pPr>
      <w:r>
        <w:rPr>
          <w:rFonts w:eastAsiaTheme="majorEastAsia"/>
        </w:rPr>
        <w:t>Alucra Turan Bulutçu Meslek Yüksekokulu, 2005 yılında Cumhuriyet Üniversitesi’ne bağlı olarak kurulmuş; 2005–2006 Eğitim-Öğretim Yılı itibarıyla Muhasebe ve Vergi Uygulamaları ile İşletme Yönetimi programlarına kabul edilen toplam 60 öğrenci ile akademik faaliyetlerine başlamıştır.</w:t>
      </w:r>
    </w:p>
    <w:p>
      <w:pPr>
        <w:pStyle w:val="GvdeMetni"/>
        <w:tabs>
          <w:tab w:val="left" w:pos="440"/>
        </w:tabs>
        <w:spacing w:before="120" w:after="120" w:line="360" w:lineRule="auto"/>
        <w:ind w:right="198"/>
        <w:jc w:val="both"/>
        <w:rPr>
          <w:rFonts w:eastAsiaTheme="majorEastAsia"/>
        </w:rPr>
      </w:pPr>
      <w:r>
        <w:rPr>
          <w:rFonts w:eastAsiaTheme="majorEastAsia"/>
        </w:rPr>
        <w:t>17 Mart 2006 tarihli ve 5467 sayılı Kanun ile Giresun Üniversitesi’nin kurulmasını müteakip Yüksekokulumuz, idari ve akademik yapılanmasıyla birlikte Giresun Üniversitesi bünyesine devredilmiş ve eğitim-öğretim faaliyetlerini bu çatı altında sürdürmeye devam etmiştir.</w:t>
      </w:r>
    </w:p>
    <w:p>
      <w:pPr>
        <w:pStyle w:val="GvdeMetni"/>
        <w:tabs>
          <w:tab w:val="left" w:pos="440"/>
        </w:tabs>
        <w:spacing w:before="120" w:after="120" w:line="360" w:lineRule="auto"/>
        <w:ind w:right="198"/>
        <w:jc w:val="both"/>
        <w:rPr>
          <w:rFonts w:eastAsiaTheme="majorEastAsia"/>
        </w:rPr>
      </w:pPr>
      <w:r>
        <w:rPr>
          <w:rFonts w:eastAsiaTheme="majorEastAsia"/>
        </w:rPr>
        <w:t>Bu geçiş süreci yalnızca kurumsal bağlılığın değişimi olarak değil; aynı zamanda bölgesel kalkınma odaklı, yerel ihtiyaçlara duyarlı ve uygulama temelli mesleki eğitim yaklaşımının güçlenmesi açısından önemli bir dönüm noktası olarak değerlendirilmektedir.</w:t>
      </w:r>
    </w:p>
    <w:p>
      <w:pPr>
        <w:pStyle w:val="GvdeMetni"/>
        <w:tabs>
          <w:tab w:val="left" w:pos="440"/>
        </w:tabs>
        <w:spacing w:before="120" w:after="120" w:line="360" w:lineRule="auto"/>
        <w:ind w:right="198"/>
        <w:jc w:val="both"/>
        <w:rPr>
          <w:rFonts w:eastAsiaTheme="majorEastAsia"/>
          <w:b/>
          <w:bCs/>
        </w:rPr>
      </w:pPr>
      <w:r>
        <w:rPr>
          <w:rFonts w:eastAsiaTheme="majorEastAsia"/>
          <w:b/>
          <w:bCs/>
        </w:rPr>
        <w:t>1.1. İletişim Bilgileri</w:t>
      </w:r>
    </w:p>
    <w:p>
      <w:pPr>
        <w:pStyle w:val="GvdeMetni"/>
        <w:tabs>
          <w:tab w:val="left" w:pos="440"/>
        </w:tabs>
        <w:spacing w:before="120" w:after="120" w:line="360" w:lineRule="auto"/>
        <w:ind w:right="198"/>
        <w:jc w:val="both"/>
        <w:rPr>
          <w:rFonts w:eastAsiaTheme="majorEastAsia"/>
        </w:rPr>
      </w:pPr>
      <w:r>
        <w:rPr>
          <w:rFonts w:eastAsiaTheme="majorEastAsia"/>
        </w:rPr>
        <w:t>Alucra Turan Bulutçu Meslek Yüksekokulu yönetimine ilişkin güncel bilgiler birimimizin resmî internet sayfasında kamuoyuna açık biçimde paylaşılmakta olup, idari yapılanmaya ilişkin temel çerçeve aşağıda Tablo 1’de sunulmuştur.</w:t>
      </w:r>
    </w:p>
    <w:p>
      <w:pPr>
        <w:pStyle w:val="GvdeMetni"/>
        <w:tabs>
          <w:tab w:val="left" w:pos="440"/>
        </w:tabs>
        <w:spacing w:before="120" w:after="120" w:line="360" w:lineRule="auto"/>
        <w:ind w:right="198"/>
        <w:jc w:val="both"/>
        <w:rPr>
          <w:rFonts w:eastAsiaTheme="majorEastAsia"/>
        </w:rPr>
      </w:pPr>
      <w:r>
        <w:rPr>
          <w:rFonts w:eastAsiaTheme="majorEastAsia"/>
        </w:rPr>
        <w:t>Yönetim yapısına ilişkin bilgilerin şeffaf biçimde yayımlanması; kurumsal şeffaflık, hesap verebilirlik ve sürdürülebilirlik ilkeleri doğrultusunda benimsenen kalite güvencesi anlayışının doğal bir yansımasıdır.</w:t>
      </w:r>
    </w:p>
    <w:p>
      <w:pPr>
        <w:pStyle w:val="GvdeMetni"/>
        <w:tabs>
          <w:tab w:val="left" w:pos="440"/>
        </w:tabs>
        <w:spacing w:before="120" w:after="120" w:line="360" w:lineRule="auto"/>
        <w:ind w:right="198"/>
        <w:jc w:val="both"/>
        <w:rPr>
          <w:rFonts w:eastAsiaTheme="majorEastAsia"/>
        </w:rPr>
      </w:pPr>
      <w:r>
        <w:rPr>
          <w:rFonts w:eastAsiaTheme="majorEastAsia"/>
        </w:rPr>
        <w:t>Yüksekokulumuz, öğrencilerimiz ve tüm paydaşlarımız ile iletişimi güçlendirmek; duyuru, etkinlik ve akademik faaliyetlere ilişkin bilgi akışını hızlandırmak amacıyla dijital iletişim kanallarını etkin biçimde kullanmaktadır. Bu kapsamda yürütülen resmî sosyal medya hesaplarımız aşağıda sunulmuştur:</w:t>
      </w:r>
    </w:p>
    <w:p>
      <w:pPr>
        <w:pStyle w:val="GvdeMetni"/>
        <w:numPr>
          <w:ilvl w:val="0"/>
          <w:numId w:val="17"/>
        </w:numPr>
        <w:tabs>
          <w:tab w:val="left" w:pos="440"/>
        </w:tabs>
        <w:spacing w:before="120" w:after="120" w:line="360" w:lineRule="auto"/>
        <w:ind w:right="198"/>
        <w:jc w:val="both"/>
        <w:rPr>
          <w:rFonts w:eastAsiaTheme="majorEastAsia"/>
        </w:rPr>
      </w:pPr>
      <w:r>
        <w:rPr>
          <w:rFonts w:eastAsiaTheme="majorEastAsia"/>
        </w:rPr>
        <w:t xml:space="preserve">Resmî Instagram Hesabı: </w:t>
      </w:r>
      <w:hyperlink r:id="rId10" w:tgtFrame="_new" w:history="1">
        <w:r>
          <w:rPr>
            <w:rStyle w:val="Kpr"/>
            <w:rFonts w:eastAsiaTheme="majorEastAsia"/>
          </w:rPr>
          <w:t>https://www.instagram.com/alucramyo</w:t>
        </w:r>
      </w:hyperlink>
    </w:p>
    <w:p>
      <w:pPr>
        <w:pStyle w:val="GvdeMetni"/>
        <w:numPr>
          <w:ilvl w:val="0"/>
          <w:numId w:val="17"/>
        </w:numPr>
        <w:tabs>
          <w:tab w:val="left" w:pos="440"/>
        </w:tabs>
        <w:spacing w:before="120" w:after="120" w:line="360" w:lineRule="auto"/>
        <w:ind w:right="198"/>
        <w:jc w:val="both"/>
        <w:rPr>
          <w:rFonts w:eastAsiaTheme="majorEastAsia"/>
        </w:rPr>
      </w:pPr>
      <w:r>
        <w:rPr>
          <w:rFonts w:eastAsiaTheme="majorEastAsia"/>
        </w:rPr>
        <w:t xml:space="preserve">Resmî Facebook Hesabı: </w:t>
      </w:r>
      <w:hyperlink r:id="rId11" w:tgtFrame="_new" w:history="1">
        <w:r>
          <w:rPr>
            <w:rStyle w:val="Kpr"/>
            <w:rFonts w:eastAsiaTheme="majorEastAsia"/>
          </w:rPr>
          <w:t>https://www.facebook.com/alucramyo</w:t>
        </w:r>
      </w:hyperlink>
    </w:p>
    <w:p>
      <w:pPr>
        <w:pStyle w:val="GvdeMetni"/>
        <w:tabs>
          <w:tab w:val="left" w:pos="440"/>
        </w:tabs>
        <w:spacing w:before="120" w:after="120" w:line="360" w:lineRule="auto"/>
        <w:ind w:right="198"/>
        <w:jc w:val="both"/>
        <w:rPr>
          <w:rFonts w:eastAsiaTheme="majorEastAsia"/>
        </w:rPr>
      </w:pPr>
      <w:r>
        <w:rPr>
          <w:rFonts w:eastAsiaTheme="majorEastAsia"/>
        </w:rPr>
        <w:t>Söz konusu dijital platformlar aracılığıyla akademik ve idari duyurular, sosyal ve kültürel etkinlikler, sektör iş birlikleri ve kalite çalışmaları düzenli olarak paylaşılmakta; aynı zamanda paydaş geri bildirimlerinin alınmasına imkân sağlayan etkileşimli bir iletişim ortamı oluşturulmaktadır.</w:t>
      </w:r>
    </w:p>
    <w:p>
      <w:pPr>
        <w:pStyle w:val="GvdeMetni"/>
        <w:tabs>
          <w:tab w:val="left" w:pos="440"/>
        </w:tabs>
        <w:spacing w:before="120" w:after="120" w:line="360" w:lineRule="auto"/>
        <w:ind w:right="198"/>
        <w:jc w:val="both"/>
        <w:rPr>
          <w:rFonts w:eastAsiaTheme="majorEastAsia"/>
        </w:rPr>
      </w:pPr>
    </w:p>
    <w:p>
      <w:pPr>
        <w:pStyle w:val="GvdeMetni"/>
        <w:tabs>
          <w:tab w:val="left" w:pos="440"/>
        </w:tabs>
        <w:spacing w:before="120" w:after="120" w:line="360" w:lineRule="auto"/>
        <w:ind w:right="198"/>
        <w:jc w:val="both"/>
        <w:rPr>
          <w:rFonts w:eastAsiaTheme="majorEastAsia"/>
        </w:rPr>
      </w:pPr>
    </w:p>
    <w:p>
      <w:pPr>
        <w:pStyle w:val="GvdeMetni"/>
        <w:tabs>
          <w:tab w:val="left" w:pos="440"/>
        </w:tabs>
        <w:spacing w:before="21" w:line="259" w:lineRule="auto"/>
        <w:ind w:right="196"/>
        <w:jc w:val="center"/>
        <w:rPr>
          <w:b/>
        </w:rPr>
      </w:pPr>
      <w:r>
        <w:rPr>
          <w:b/>
        </w:rPr>
        <w:t>Tablo 1. Yüksekokul Yönetimi</w:t>
      </w:r>
    </w:p>
    <w:tbl>
      <w:tblPr>
        <w:tblStyle w:val="TabloKlavuzu"/>
        <w:tblW w:w="8677" w:type="dxa"/>
        <w:tblInd w:w="200" w:type="dxa"/>
        <w:tblLayout w:type="fixed"/>
        <w:tblLook w:val="04A0"/>
      </w:tblPr>
      <w:tblGrid>
        <w:gridCol w:w="1071"/>
        <w:gridCol w:w="1598"/>
        <w:gridCol w:w="1379"/>
        <w:gridCol w:w="3064"/>
        <w:gridCol w:w="1565"/>
      </w:tblGrid>
      <w:tr>
        <w:trPr>
          <w:trHeight w:val="283"/>
        </w:trPr>
        <w:tc>
          <w:tcPr>
            <w:tcW w:w="1071" w:type="dxa"/>
          </w:tcPr>
          <w:p>
            <w:pPr>
              <w:pStyle w:val="GvdeMetni"/>
              <w:tabs>
                <w:tab w:val="left" w:pos="440"/>
              </w:tabs>
              <w:spacing w:before="21" w:line="259" w:lineRule="auto"/>
              <w:ind w:right="196"/>
              <w:jc w:val="both"/>
              <w:rPr>
                <w:b/>
                <w:sz w:val="20"/>
                <w:szCs w:val="20"/>
                <w:lang w:val="tr-TR"/>
              </w:rPr>
            </w:pPr>
            <w:r>
              <w:rPr>
                <w:b/>
                <w:sz w:val="20"/>
                <w:szCs w:val="20"/>
                <w:lang w:val="tr-TR"/>
              </w:rPr>
              <w:t>Unvan</w:t>
            </w:r>
          </w:p>
        </w:tc>
        <w:tc>
          <w:tcPr>
            <w:tcW w:w="1598" w:type="dxa"/>
          </w:tcPr>
          <w:p>
            <w:pPr>
              <w:pStyle w:val="GvdeMetni"/>
              <w:tabs>
                <w:tab w:val="left" w:pos="440"/>
              </w:tabs>
              <w:spacing w:before="21" w:line="259" w:lineRule="auto"/>
              <w:ind w:right="196"/>
              <w:jc w:val="both"/>
              <w:rPr>
                <w:b/>
                <w:sz w:val="20"/>
                <w:szCs w:val="20"/>
                <w:lang w:val="tr-TR"/>
              </w:rPr>
            </w:pPr>
            <w:r>
              <w:rPr>
                <w:b/>
                <w:sz w:val="20"/>
                <w:szCs w:val="20"/>
                <w:lang w:val="tr-TR"/>
              </w:rPr>
              <w:t>Adı Soyadı</w:t>
            </w:r>
          </w:p>
        </w:tc>
        <w:tc>
          <w:tcPr>
            <w:tcW w:w="1379" w:type="dxa"/>
          </w:tcPr>
          <w:p>
            <w:pPr>
              <w:pStyle w:val="GvdeMetni"/>
              <w:tabs>
                <w:tab w:val="left" w:pos="440"/>
              </w:tabs>
              <w:spacing w:before="21" w:line="259" w:lineRule="auto"/>
              <w:ind w:right="196"/>
              <w:jc w:val="both"/>
              <w:rPr>
                <w:b/>
                <w:sz w:val="20"/>
                <w:szCs w:val="20"/>
                <w:lang w:val="tr-TR"/>
              </w:rPr>
            </w:pPr>
            <w:r>
              <w:rPr>
                <w:b/>
                <w:sz w:val="20"/>
                <w:szCs w:val="20"/>
                <w:lang w:val="tr-TR"/>
              </w:rPr>
              <w:t>Görevi</w:t>
            </w:r>
          </w:p>
        </w:tc>
        <w:tc>
          <w:tcPr>
            <w:tcW w:w="3064" w:type="dxa"/>
          </w:tcPr>
          <w:p>
            <w:pPr>
              <w:pStyle w:val="GvdeMetni"/>
              <w:tabs>
                <w:tab w:val="left" w:pos="440"/>
              </w:tabs>
              <w:spacing w:before="21" w:line="259" w:lineRule="auto"/>
              <w:ind w:right="196"/>
              <w:jc w:val="both"/>
              <w:rPr>
                <w:b/>
                <w:sz w:val="20"/>
                <w:szCs w:val="20"/>
                <w:lang w:val="tr-TR"/>
              </w:rPr>
            </w:pPr>
            <w:r>
              <w:rPr>
                <w:b/>
                <w:sz w:val="20"/>
                <w:szCs w:val="20"/>
                <w:lang w:val="tr-TR"/>
              </w:rPr>
              <w:t>e-posta</w:t>
            </w:r>
          </w:p>
        </w:tc>
        <w:tc>
          <w:tcPr>
            <w:tcW w:w="1565" w:type="dxa"/>
          </w:tcPr>
          <w:p>
            <w:pPr>
              <w:pStyle w:val="GvdeMetni"/>
              <w:tabs>
                <w:tab w:val="left" w:pos="440"/>
              </w:tabs>
              <w:spacing w:before="21" w:line="259" w:lineRule="auto"/>
              <w:ind w:right="196"/>
              <w:jc w:val="both"/>
              <w:rPr>
                <w:b/>
                <w:sz w:val="20"/>
                <w:szCs w:val="20"/>
                <w:lang w:val="tr-TR"/>
              </w:rPr>
            </w:pPr>
            <w:r>
              <w:rPr>
                <w:b/>
                <w:sz w:val="20"/>
                <w:szCs w:val="20"/>
                <w:lang w:val="tr-TR"/>
              </w:rPr>
              <w:t>Telefon</w:t>
            </w:r>
          </w:p>
        </w:tc>
      </w:tr>
      <w:tr>
        <w:trPr>
          <w:trHeight w:val="553"/>
        </w:trPr>
        <w:tc>
          <w:tcPr>
            <w:tcW w:w="1071" w:type="dxa"/>
            <w:vAlign w:val="center"/>
          </w:tcPr>
          <w:p>
            <w:pPr>
              <w:pStyle w:val="GvdeMetni"/>
              <w:tabs>
                <w:tab w:val="left" w:pos="440"/>
              </w:tabs>
              <w:spacing w:before="21" w:line="259" w:lineRule="auto"/>
              <w:ind w:right="196"/>
              <w:rPr>
                <w:sz w:val="20"/>
                <w:szCs w:val="20"/>
                <w:lang w:val="tr-TR"/>
              </w:rPr>
            </w:pPr>
            <w:r>
              <w:rPr>
                <w:sz w:val="20"/>
                <w:szCs w:val="20"/>
                <w:lang w:val="tr-TR"/>
              </w:rPr>
              <w:t>Öğr. Gör.</w:t>
            </w:r>
          </w:p>
        </w:tc>
        <w:tc>
          <w:tcPr>
            <w:tcW w:w="1598" w:type="dxa"/>
            <w:vAlign w:val="center"/>
          </w:tcPr>
          <w:p>
            <w:pPr>
              <w:pStyle w:val="GvdeMetni"/>
              <w:tabs>
                <w:tab w:val="left" w:pos="440"/>
              </w:tabs>
              <w:spacing w:before="21" w:line="259" w:lineRule="auto"/>
              <w:ind w:right="196"/>
              <w:rPr>
                <w:sz w:val="20"/>
                <w:szCs w:val="20"/>
                <w:lang w:val="tr-TR"/>
              </w:rPr>
            </w:pPr>
            <w:r>
              <w:rPr>
                <w:sz w:val="20"/>
                <w:szCs w:val="20"/>
                <w:lang w:val="tr-TR"/>
              </w:rPr>
              <w:t>Mehmet Akif SARI</w:t>
            </w:r>
          </w:p>
        </w:tc>
        <w:tc>
          <w:tcPr>
            <w:tcW w:w="1379" w:type="dxa"/>
            <w:vAlign w:val="center"/>
          </w:tcPr>
          <w:p>
            <w:pPr>
              <w:pStyle w:val="GvdeMetni"/>
              <w:tabs>
                <w:tab w:val="left" w:pos="440"/>
              </w:tabs>
              <w:spacing w:before="21" w:line="259" w:lineRule="auto"/>
              <w:ind w:right="196"/>
              <w:rPr>
                <w:sz w:val="20"/>
                <w:szCs w:val="20"/>
                <w:lang w:val="tr-TR"/>
              </w:rPr>
            </w:pPr>
            <w:r>
              <w:rPr>
                <w:sz w:val="20"/>
                <w:szCs w:val="20"/>
                <w:lang w:val="tr-TR"/>
              </w:rPr>
              <w:t>Yüksekokul Müdürü</w:t>
            </w:r>
          </w:p>
        </w:tc>
        <w:tc>
          <w:tcPr>
            <w:tcW w:w="3064" w:type="dxa"/>
            <w:vAlign w:val="center"/>
          </w:tcPr>
          <w:p>
            <w:pPr>
              <w:pStyle w:val="GvdeMetni"/>
              <w:tabs>
                <w:tab w:val="left" w:pos="440"/>
              </w:tabs>
              <w:spacing w:before="21" w:line="259" w:lineRule="auto"/>
              <w:ind w:right="196"/>
              <w:rPr>
                <w:sz w:val="20"/>
                <w:szCs w:val="20"/>
                <w:lang w:val="tr-TR"/>
              </w:rPr>
            </w:pPr>
            <w:hyperlink r:id="rId12" w:history="1">
              <w:r>
                <w:rPr>
                  <w:rStyle w:val="Kpr"/>
                  <w:rFonts w:eastAsiaTheme="majorEastAsia"/>
                  <w:color w:val="auto"/>
                  <w:sz w:val="20"/>
                  <w:szCs w:val="20"/>
                  <w:lang w:val="tr-TR"/>
                </w:rPr>
                <w:t>mehmet.akif.sari@giresun.edu.tr</w:t>
              </w:r>
            </w:hyperlink>
          </w:p>
        </w:tc>
        <w:tc>
          <w:tcPr>
            <w:tcW w:w="1565" w:type="dxa"/>
            <w:vAlign w:val="center"/>
          </w:tcPr>
          <w:p>
            <w:pPr>
              <w:pStyle w:val="GvdeMetni"/>
              <w:tabs>
                <w:tab w:val="left" w:pos="440"/>
              </w:tabs>
              <w:spacing w:before="21" w:line="259" w:lineRule="auto"/>
              <w:ind w:right="196"/>
              <w:rPr>
                <w:sz w:val="20"/>
                <w:szCs w:val="20"/>
                <w:lang w:val="tr-TR"/>
              </w:rPr>
            </w:pPr>
            <w:r>
              <w:rPr>
                <w:sz w:val="20"/>
                <w:szCs w:val="20"/>
                <w:lang w:val="tr-TR"/>
              </w:rPr>
              <w:t>04543101721</w:t>
            </w:r>
          </w:p>
        </w:tc>
      </w:tr>
      <w:tr>
        <w:trPr>
          <w:trHeight w:val="553"/>
        </w:trPr>
        <w:tc>
          <w:tcPr>
            <w:tcW w:w="1071" w:type="dxa"/>
            <w:vAlign w:val="center"/>
          </w:tcPr>
          <w:p>
            <w:pPr>
              <w:pStyle w:val="GvdeMetni"/>
              <w:tabs>
                <w:tab w:val="left" w:pos="440"/>
              </w:tabs>
              <w:spacing w:before="21" w:line="259" w:lineRule="auto"/>
              <w:ind w:right="196"/>
              <w:rPr>
                <w:sz w:val="20"/>
                <w:szCs w:val="20"/>
                <w:lang w:val="tr-TR"/>
              </w:rPr>
            </w:pPr>
            <w:r>
              <w:rPr>
                <w:sz w:val="20"/>
                <w:szCs w:val="20"/>
                <w:lang w:val="tr-TR"/>
              </w:rPr>
              <w:t>Öğr. Gör.</w:t>
            </w:r>
          </w:p>
        </w:tc>
        <w:tc>
          <w:tcPr>
            <w:tcW w:w="1598" w:type="dxa"/>
            <w:vAlign w:val="center"/>
          </w:tcPr>
          <w:p>
            <w:pPr>
              <w:pStyle w:val="GvdeMetni"/>
              <w:tabs>
                <w:tab w:val="left" w:pos="440"/>
              </w:tabs>
              <w:spacing w:before="21" w:line="259" w:lineRule="auto"/>
              <w:ind w:right="196"/>
              <w:rPr>
                <w:sz w:val="20"/>
                <w:szCs w:val="20"/>
                <w:lang w:val="tr-TR"/>
              </w:rPr>
            </w:pPr>
            <w:r>
              <w:rPr>
                <w:sz w:val="20"/>
                <w:szCs w:val="20"/>
                <w:lang w:val="tr-TR"/>
              </w:rPr>
              <w:t>Sinan KUZUCU</w:t>
            </w:r>
          </w:p>
        </w:tc>
        <w:tc>
          <w:tcPr>
            <w:tcW w:w="1379" w:type="dxa"/>
            <w:vAlign w:val="center"/>
          </w:tcPr>
          <w:p>
            <w:pPr>
              <w:pStyle w:val="GvdeMetni"/>
              <w:tabs>
                <w:tab w:val="left" w:pos="440"/>
              </w:tabs>
              <w:spacing w:before="21" w:line="259" w:lineRule="auto"/>
              <w:ind w:right="196"/>
              <w:rPr>
                <w:sz w:val="20"/>
                <w:szCs w:val="20"/>
                <w:lang w:val="tr-TR"/>
              </w:rPr>
            </w:pPr>
            <w:r>
              <w:rPr>
                <w:sz w:val="20"/>
                <w:szCs w:val="20"/>
                <w:lang w:val="tr-TR"/>
              </w:rPr>
              <w:t>Yüksekokul Müdür Yrd.</w:t>
            </w:r>
          </w:p>
        </w:tc>
        <w:tc>
          <w:tcPr>
            <w:tcW w:w="3064" w:type="dxa"/>
            <w:vAlign w:val="center"/>
          </w:tcPr>
          <w:p>
            <w:pPr>
              <w:pStyle w:val="GvdeMetni"/>
              <w:tabs>
                <w:tab w:val="left" w:pos="440"/>
              </w:tabs>
              <w:spacing w:before="21" w:line="259" w:lineRule="auto"/>
              <w:ind w:right="196"/>
              <w:rPr>
                <w:sz w:val="20"/>
                <w:szCs w:val="20"/>
                <w:lang w:val="tr-TR"/>
              </w:rPr>
            </w:pPr>
            <w:hyperlink r:id="rId13" w:history="1">
              <w:r>
                <w:rPr>
                  <w:rStyle w:val="Kpr"/>
                  <w:rFonts w:eastAsiaTheme="majorEastAsia"/>
                  <w:color w:val="auto"/>
                  <w:sz w:val="20"/>
                  <w:szCs w:val="20"/>
                  <w:lang w:val="tr-TR"/>
                </w:rPr>
                <w:t>sinan.kuzucu@giresun.edu.tr</w:t>
              </w:r>
            </w:hyperlink>
          </w:p>
        </w:tc>
        <w:tc>
          <w:tcPr>
            <w:tcW w:w="1565" w:type="dxa"/>
            <w:vAlign w:val="center"/>
          </w:tcPr>
          <w:p>
            <w:pPr>
              <w:pStyle w:val="GvdeMetni"/>
              <w:tabs>
                <w:tab w:val="left" w:pos="440"/>
              </w:tabs>
              <w:spacing w:before="21" w:line="259" w:lineRule="auto"/>
              <w:ind w:right="196"/>
              <w:rPr>
                <w:sz w:val="20"/>
                <w:szCs w:val="20"/>
                <w:lang w:val="tr-TR"/>
              </w:rPr>
            </w:pPr>
            <w:r>
              <w:rPr>
                <w:sz w:val="20"/>
                <w:szCs w:val="20"/>
                <w:lang w:val="tr-TR"/>
              </w:rPr>
              <w:t>04543101723</w:t>
            </w:r>
          </w:p>
        </w:tc>
      </w:tr>
      <w:tr>
        <w:trPr>
          <w:trHeight w:val="553"/>
        </w:trPr>
        <w:tc>
          <w:tcPr>
            <w:tcW w:w="1071" w:type="dxa"/>
            <w:vAlign w:val="center"/>
          </w:tcPr>
          <w:p>
            <w:pPr>
              <w:pStyle w:val="GvdeMetni"/>
              <w:tabs>
                <w:tab w:val="left" w:pos="440"/>
              </w:tabs>
              <w:spacing w:before="21" w:line="259" w:lineRule="auto"/>
              <w:ind w:right="196"/>
              <w:rPr>
                <w:sz w:val="20"/>
                <w:szCs w:val="20"/>
                <w:lang w:val="tr-TR"/>
              </w:rPr>
            </w:pPr>
            <w:r>
              <w:rPr>
                <w:sz w:val="20"/>
                <w:szCs w:val="20"/>
                <w:lang w:val="tr-TR"/>
              </w:rPr>
              <w:t>Öğr. Gör.</w:t>
            </w:r>
          </w:p>
        </w:tc>
        <w:tc>
          <w:tcPr>
            <w:tcW w:w="1598" w:type="dxa"/>
            <w:vAlign w:val="center"/>
          </w:tcPr>
          <w:p>
            <w:pPr>
              <w:pStyle w:val="GvdeMetni"/>
              <w:tabs>
                <w:tab w:val="left" w:pos="440"/>
              </w:tabs>
              <w:spacing w:before="21" w:line="259" w:lineRule="auto"/>
              <w:ind w:right="196"/>
              <w:rPr>
                <w:sz w:val="20"/>
                <w:szCs w:val="20"/>
                <w:lang w:val="tr-TR"/>
              </w:rPr>
            </w:pPr>
            <w:r>
              <w:rPr>
                <w:sz w:val="20"/>
                <w:szCs w:val="20"/>
                <w:lang w:val="tr-TR"/>
              </w:rPr>
              <w:t>Miraç ŞİRİN</w:t>
            </w:r>
          </w:p>
        </w:tc>
        <w:tc>
          <w:tcPr>
            <w:tcW w:w="1379" w:type="dxa"/>
            <w:vAlign w:val="center"/>
          </w:tcPr>
          <w:p>
            <w:pPr>
              <w:pStyle w:val="GvdeMetni"/>
              <w:tabs>
                <w:tab w:val="left" w:pos="440"/>
              </w:tabs>
              <w:spacing w:before="21" w:line="259" w:lineRule="auto"/>
              <w:ind w:right="196"/>
              <w:rPr>
                <w:sz w:val="20"/>
                <w:szCs w:val="20"/>
                <w:lang w:val="tr-TR"/>
              </w:rPr>
            </w:pPr>
            <w:r>
              <w:rPr>
                <w:sz w:val="20"/>
                <w:szCs w:val="20"/>
                <w:lang w:val="tr-TR"/>
              </w:rPr>
              <w:t>Yüksekokul Müdür Yrd.</w:t>
            </w:r>
          </w:p>
        </w:tc>
        <w:tc>
          <w:tcPr>
            <w:tcW w:w="3064" w:type="dxa"/>
            <w:vAlign w:val="center"/>
          </w:tcPr>
          <w:p>
            <w:pPr>
              <w:pStyle w:val="GvdeMetni"/>
              <w:tabs>
                <w:tab w:val="left" w:pos="440"/>
              </w:tabs>
              <w:spacing w:before="21" w:line="259" w:lineRule="auto"/>
              <w:ind w:right="196"/>
              <w:rPr>
                <w:rStyle w:val="Kpr"/>
                <w:rFonts w:eastAsiaTheme="majorEastAsia"/>
                <w:color w:val="auto"/>
                <w:sz w:val="20"/>
                <w:szCs w:val="20"/>
                <w:lang w:val="tr-TR"/>
              </w:rPr>
            </w:pPr>
            <w:hyperlink r:id="rId14" w:history="1">
              <w:r>
                <w:rPr>
                  <w:rStyle w:val="Kpr"/>
                  <w:rFonts w:eastAsiaTheme="majorEastAsia"/>
                  <w:color w:val="auto"/>
                  <w:sz w:val="20"/>
                  <w:szCs w:val="20"/>
                  <w:lang w:val="tr-TR"/>
                </w:rPr>
                <w:t>mirac.sirin@giresun.edu.tr</w:t>
              </w:r>
            </w:hyperlink>
          </w:p>
        </w:tc>
        <w:tc>
          <w:tcPr>
            <w:tcW w:w="1565" w:type="dxa"/>
            <w:vAlign w:val="center"/>
          </w:tcPr>
          <w:p>
            <w:pPr>
              <w:pStyle w:val="GvdeMetni"/>
              <w:tabs>
                <w:tab w:val="left" w:pos="440"/>
              </w:tabs>
              <w:spacing w:before="21" w:line="259" w:lineRule="auto"/>
              <w:ind w:right="196"/>
              <w:rPr>
                <w:sz w:val="20"/>
                <w:szCs w:val="20"/>
                <w:lang w:val="tr-TR"/>
              </w:rPr>
            </w:pPr>
            <w:r>
              <w:rPr>
                <w:sz w:val="20"/>
                <w:szCs w:val="20"/>
                <w:lang w:val="tr-TR"/>
              </w:rPr>
              <w:t>04543101724</w:t>
            </w:r>
          </w:p>
        </w:tc>
      </w:tr>
      <w:tr>
        <w:trPr>
          <w:trHeight w:val="541"/>
        </w:trPr>
        <w:tc>
          <w:tcPr>
            <w:tcW w:w="1071" w:type="dxa"/>
            <w:vAlign w:val="center"/>
          </w:tcPr>
          <w:p>
            <w:pPr>
              <w:pStyle w:val="GvdeMetni"/>
              <w:tabs>
                <w:tab w:val="left" w:pos="440"/>
              </w:tabs>
              <w:spacing w:before="21" w:line="259" w:lineRule="auto"/>
              <w:ind w:right="196"/>
              <w:rPr>
                <w:sz w:val="20"/>
                <w:szCs w:val="20"/>
                <w:lang w:val="tr-TR"/>
              </w:rPr>
            </w:pPr>
            <w:r>
              <w:rPr>
                <w:sz w:val="20"/>
                <w:szCs w:val="20"/>
                <w:lang w:val="tr-TR"/>
              </w:rPr>
              <w:t>-</w:t>
            </w:r>
          </w:p>
        </w:tc>
        <w:tc>
          <w:tcPr>
            <w:tcW w:w="1598" w:type="dxa"/>
            <w:vAlign w:val="center"/>
          </w:tcPr>
          <w:p>
            <w:pPr>
              <w:pStyle w:val="GvdeMetni"/>
              <w:tabs>
                <w:tab w:val="left" w:pos="440"/>
              </w:tabs>
              <w:spacing w:before="21" w:line="259" w:lineRule="auto"/>
              <w:ind w:right="196"/>
              <w:rPr>
                <w:sz w:val="20"/>
                <w:szCs w:val="20"/>
                <w:lang w:val="tr-TR"/>
              </w:rPr>
            </w:pPr>
            <w:r>
              <w:rPr>
                <w:sz w:val="20"/>
                <w:szCs w:val="20"/>
                <w:lang w:val="tr-TR"/>
              </w:rPr>
              <w:t>Recai ALACAHAN</w:t>
            </w:r>
          </w:p>
        </w:tc>
        <w:tc>
          <w:tcPr>
            <w:tcW w:w="1379" w:type="dxa"/>
            <w:vAlign w:val="center"/>
          </w:tcPr>
          <w:p>
            <w:pPr>
              <w:pStyle w:val="GvdeMetni"/>
              <w:tabs>
                <w:tab w:val="left" w:pos="440"/>
              </w:tabs>
              <w:spacing w:before="21" w:line="259" w:lineRule="auto"/>
              <w:ind w:right="196"/>
              <w:rPr>
                <w:sz w:val="20"/>
                <w:szCs w:val="20"/>
                <w:lang w:val="tr-TR"/>
              </w:rPr>
            </w:pPr>
            <w:r>
              <w:rPr>
                <w:sz w:val="20"/>
                <w:szCs w:val="20"/>
                <w:lang w:val="tr-TR"/>
              </w:rPr>
              <w:t>Yüksekokul Sekreteri</w:t>
            </w:r>
          </w:p>
        </w:tc>
        <w:tc>
          <w:tcPr>
            <w:tcW w:w="3064" w:type="dxa"/>
            <w:vAlign w:val="center"/>
          </w:tcPr>
          <w:p>
            <w:pPr>
              <w:pStyle w:val="GvdeMetni"/>
              <w:tabs>
                <w:tab w:val="left" w:pos="440"/>
              </w:tabs>
              <w:spacing w:before="21" w:line="259" w:lineRule="auto"/>
              <w:ind w:right="196"/>
              <w:rPr>
                <w:sz w:val="20"/>
                <w:szCs w:val="20"/>
                <w:lang w:val="tr-TR"/>
              </w:rPr>
            </w:pPr>
            <w:hyperlink r:id="rId15" w:history="1">
              <w:r>
                <w:rPr>
                  <w:rStyle w:val="Kpr"/>
                  <w:rFonts w:eastAsiaTheme="majorEastAsia"/>
                  <w:color w:val="auto"/>
                  <w:sz w:val="20"/>
                  <w:szCs w:val="20"/>
                  <w:lang w:val="tr-TR"/>
                </w:rPr>
                <w:t>recai.alacahan@giresun.edu.tr</w:t>
              </w:r>
            </w:hyperlink>
          </w:p>
        </w:tc>
        <w:tc>
          <w:tcPr>
            <w:tcW w:w="1565" w:type="dxa"/>
            <w:vAlign w:val="center"/>
          </w:tcPr>
          <w:p>
            <w:pPr>
              <w:pStyle w:val="GvdeMetni"/>
              <w:tabs>
                <w:tab w:val="left" w:pos="440"/>
              </w:tabs>
              <w:spacing w:before="21" w:line="259" w:lineRule="auto"/>
              <w:ind w:right="196"/>
              <w:rPr>
                <w:sz w:val="20"/>
                <w:szCs w:val="20"/>
                <w:lang w:val="tr-TR"/>
              </w:rPr>
            </w:pPr>
            <w:r>
              <w:rPr>
                <w:sz w:val="20"/>
                <w:szCs w:val="20"/>
                <w:lang w:val="tr-TR"/>
              </w:rPr>
              <w:t>04543101722</w:t>
            </w:r>
          </w:p>
        </w:tc>
      </w:tr>
    </w:tbl>
    <w:p>
      <w:pPr>
        <w:pStyle w:val="GvdeMetni"/>
        <w:tabs>
          <w:tab w:val="left" w:pos="440"/>
        </w:tabs>
        <w:spacing w:before="21"/>
      </w:pPr>
    </w:p>
    <w:p>
      <w:pPr>
        <w:pStyle w:val="GvdeMetni"/>
        <w:tabs>
          <w:tab w:val="left" w:pos="440"/>
        </w:tabs>
        <w:spacing w:before="120" w:after="120" w:line="360" w:lineRule="auto"/>
        <w:jc w:val="both"/>
        <w:rPr>
          <w:b/>
          <w:bCs/>
        </w:rPr>
      </w:pPr>
      <w:r>
        <w:rPr>
          <w:b/>
          <w:bCs/>
        </w:rPr>
        <w:t>1.1. Tarihsel Gelişimi</w:t>
      </w:r>
    </w:p>
    <w:p>
      <w:pPr>
        <w:pStyle w:val="GvdeMetni"/>
        <w:tabs>
          <w:tab w:val="left" w:pos="440"/>
        </w:tabs>
        <w:spacing w:before="120" w:after="120" w:line="360" w:lineRule="auto"/>
        <w:jc w:val="both"/>
      </w:pPr>
      <w:r>
        <w:t xml:space="preserve">Alucra Turan Bulutçu Meslek Yüksekokulu’nun tarihsel gelişimine ilişkin ayrıntılı bilgilere birimimizin resmî internet sitesinde yer alan </w:t>
      </w:r>
      <w:r>
        <w:rPr>
          <w:b/>
          <w:bCs/>
        </w:rPr>
        <w:t>“Hakkımızda”</w:t>
      </w:r>
      <w:r>
        <w:t xml:space="preserve"> başlığı altında yer verilmektedir.</w:t>
      </w:r>
    </w:p>
    <w:p>
      <w:pPr>
        <w:pStyle w:val="GvdeMetni"/>
        <w:tabs>
          <w:tab w:val="left" w:pos="440"/>
        </w:tabs>
        <w:spacing w:before="120" w:after="120" w:line="360" w:lineRule="auto"/>
        <w:jc w:val="both"/>
      </w:pPr>
      <w:r>
        <w:t xml:space="preserve">Yüksekokulumuz, 2005 yılında kurulmuş ve 2005–2006 Eğitim-Öğretim Yılında Muhasebe ve Vergi Bölümü altında </w:t>
      </w:r>
      <w:r>
        <w:rPr>
          <w:b/>
          <w:bCs/>
        </w:rPr>
        <w:t>Muhasebe ve Vergi Uygulamaları Programı</w:t>
      </w:r>
      <w:r>
        <w:t xml:space="preserve"> ile Yönetim ve Organizasyon Bölümü altında </w:t>
      </w:r>
      <w:r>
        <w:rPr>
          <w:b/>
          <w:bCs/>
        </w:rPr>
        <w:t>İşletme Yönetimi Programı</w:t>
      </w:r>
      <w:r>
        <w:t>na kabul edilen 60 öğrenci ile eğitim-öğretim faaliyetlerine başlamıştır. 2006–2007 Eğitim-Öğretim Yılında söz konusu programlar ilk mezunlarını vermiştir.</w:t>
      </w:r>
    </w:p>
    <w:p>
      <w:pPr>
        <w:pStyle w:val="GvdeMetni"/>
        <w:tabs>
          <w:tab w:val="left" w:pos="440"/>
        </w:tabs>
        <w:spacing w:before="120" w:after="120" w:line="360" w:lineRule="auto"/>
        <w:jc w:val="both"/>
      </w:pPr>
      <w:r>
        <w:t xml:space="preserve">2007–2008 Eğitim-Öğretim Yılında akademik yapılanma genişletilmiş; Büro Hizmetleri ve Sekreterlik, Finans-Bankacılık ve Sigortacılık ile Pazarlama ve Reklamcılık Bölümleri açılmıştır. Bu bölümler bünyesinde </w:t>
      </w:r>
      <w:r>
        <w:rPr>
          <w:b/>
          <w:bCs/>
        </w:rPr>
        <w:t>Büro Yönetimi ve Yönetici Asistanlığı</w:t>
      </w:r>
      <w:r>
        <w:t xml:space="preserve">, </w:t>
      </w:r>
      <w:r>
        <w:rPr>
          <w:b/>
          <w:bCs/>
        </w:rPr>
        <w:t>Bankacılık ve Sigortacılık</w:t>
      </w:r>
      <w:r>
        <w:t xml:space="preserve">, </w:t>
      </w:r>
      <w:r>
        <w:rPr>
          <w:b/>
          <w:bCs/>
        </w:rPr>
        <w:t>Maliye</w:t>
      </w:r>
      <w:r>
        <w:t xml:space="preserve"> ile </w:t>
      </w:r>
      <w:r>
        <w:rPr>
          <w:b/>
          <w:bCs/>
        </w:rPr>
        <w:t>Halkla İlişkiler ve Tanıtım</w:t>
      </w:r>
      <w:r>
        <w:t xml:space="preserve"> programlarının faaliyete geçmesiyle birlikte program sayısı altıya yükselmiştir.</w:t>
      </w:r>
    </w:p>
    <w:p>
      <w:pPr>
        <w:pStyle w:val="GvdeMetni"/>
        <w:tabs>
          <w:tab w:val="left" w:pos="440"/>
        </w:tabs>
        <w:spacing w:before="120" w:after="120" w:line="360" w:lineRule="auto"/>
        <w:jc w:val="both"/>
      </w:pPr>
      <w:r>
        <w:t>2010–2011 Eğitim-Öğretim Yılında Büro Yönetimi ve Yönetici Asistanlığı, Bankacılık ve Sigortacılık ile Muhasebe ve Vergi Uygulamaları Programlarının ikinci öğretimleri; 2011–2012 Eğitim-Öğretim Yılında ise Maliye ile Halkla İlişkiler ve Tanıtım Programlarının ikinci öğretimleri açılmıştır.</w:t>
      </w:r>
    </w:p>
    <w:p>
      <w:pPr>
        <w:pStyle w:val="GvdeMetni"/>
        <w:tabs>
          <w:tab w:val="left" w:pos="440"/>
        </w:tabs>
        <w:spacing w:before="120" w:after="120" w:line="360" w:lineRule="auto"/>
        <w:jc w:val="both"/>
      </w:pPr>
      <w:r>
        <w:t xml:space="preserve">2013–2014 Eğitim-Öğretim Yılında Pazarlama ve Reklamcılık Bölümü altında </w:t>
      </w:r>
      <w:r>
        <w:rPr>
          <w:b/>
          <w:bCs/>
        </w:rPr>
        <w:t>Medya ve İletişim Programı</w:t>
      </w:r>
      <w:r>
        <w:t xml:space="preserve">; 2014–2015 Eğitim-Öğretim Yılında ise Veterinerlik Bölümü altında </w:t>
      </w:r>
      <w:r>
        <w:rPr>
          <w:b/>
          <w:bCs/>
        </w:rPr>
        <w:t>Laborant ve Veteriner Sağlık Programı</w:t>
      </w:r>
      <w:r>
        <w:t xml:space="preserve"> eğitim-öğretime başlamış ve böylece program sayısı sekize yükselmiştir.</w:t>
      </w:r>
    </w:p>
    <w:p>
      <w:pPr>
        <w:pStyle w:val="GvdeMetni"/>
        <w:tabs>
          <w:tab w:val="left" w:pos="440"/>
        </w:tabs>
        <w:spacing w:before="120" w:after="120" w:line="360" w:lineRule="auto"/>
        <w:jc w:val="both"/>
      </w:pPr>
      <w:r>
        <w:t xml:space="preserve">2016–2017 Eğitim-Öğretim Yılında Pazarlama ve Dış Ticaret Bölümü altında </w:t>
      </w:r>
      <w:r>
        <w:rPr>
          <w:b/>
          <w:bCs/>
        </w:rPr>
        <w:t>Dış Ticaret Programı</w:t>
      </w:r>
      <w:r>
        <w:t xml:space="preserve">nın, 2020–2021 Eğitim-Öğretim Yılında ise Yönetim ve Organizasyon Bölümü </w:t>
      </w:r>
      <w:r>
        <w:lastRenderedPageBreak/>
        <w:t xml:space="preserve">altında </w:t>
      </w:r>
      <w:r>
        <w:rPr>
          <w:b/>
          <w:bCs/>
        </w:rPr>
        <w:t>Sağlık Kurumları İşletmeciliği Programı</w:t>
      </w:r>
      <w:r>
        <w:t>nın açılmasıyla program sayısı ona ulaşmıştır.</w:t>
      </w:r>
    </w:p>
    <w:p>
      <w:pPr>
        <w:pStyle w:val="GvdeMetni"/>
        <w:tabs>
          <w:tab w:val="left" w:pos="440"/>
        </w:tabs>
        <w:spacing w:before="120" w:after="120" w:line="360" w:lineRule="auto"/>
        <w:jc w:val="both"/>
      </w:pPr>
      <w:r>
        <w:t xml:space="preserve">Yükseköğretim Kurulu kararları doğrultusunda ilerleyen yıllarda Muhasebe ve Vergi Uygulamaları, İşletme Yönetimi, Dış Ticaret ile Medya ve İletişim Programlarında öğrenci alımı durdurulmuştur. Süreç içerisinde Muhasebe ve Vergi Uygulamaları, İşletme Yönetimi, Dış Ticaret ile Büro Yönetimi ve Yönetici Asistanlığı Programları kapatılmış; bu programlarda görev yapan öğretim elemanları dolu kadro aktarım yöntemiyle </w:t>
      </w:r>
      <w:r>
        <w:rPr>
          <w:b/>
          <w:bCs/>
        </w:rPr>
        <w:t>Tıbbi Dokümantasyon ve Sekreterlik</w:t>
      </w:r>
      <w:r>
        <w:t xml:space="preserve"> ile </w:t>
      </w:r>
      <w:r>
        <w:rPr>
          <w:b/>
          <w:bCs/>
        </w:rPr>
        <w:t>Sosyal Güvenlik Programı</w:t>
      </w:r>
      <w:r>
        <w:t>na aktarılmış ve söz konusu programlarda öğrenci alımına başlanmıştır.</w:t>
      </w:r>
    </w:p>
    <w:p>
      <w:pPr>
        <w:pStyle w:val="GvdeMetni"/>
        <w:tabs>
          <w:tab w:val="left" w:pos="440"/>
        </w:tabs>
        <w:spacing w:before="120" w:after="120" w:line="360" w:lineRule="auto"/>
        <w:jc w:val="both"/>
      </w:pPr>
      <w:r>
        <w:t xml:space="preserve">Öte yandan pasif duruma alınmış olan </w:t>
      </w:r>
      <w:r>
        <w:rPr>
          <w:b/>
          <w:bCs/>
        </w:rPr>
        <w:t>Medya ve İletişim Programı</w:t>
      </w:r>
      <w:r>
        <w:t>, 2024–2025 Eğitim-Öğretim Yılı itibarıyla yeniden aktif hale getirilmiş ve tekrar öğrenci kabul etmeye başlamıştır.</w:t>
      </w:r>
    </w:p>
    <w:p>
      <w:pPr>
        <w:pStyle w:val="GvdeMetni"/>
        <w:tabs>
          <w:tab w:val="left" w:pos="440"/>
        </w:tabs>
        <w:spacing w:before="120" w:after="120" w:line="360" w:lineRule="auto"/>
        <w:jc w:val="both"/>
      </w:pPr>
      <w:r>
        <w:t>Bu gelişim süreci, Yüksekokulumuzun bölgesel ihtiyaçlara duyarlı, dinamik ve stratejik planlama odaklı bir akademik yapılanma anlayışı benimsediğini göstermekte; program açma, kapatma ve yeniden yapılandırma kararlarının kalite güvencesi ve sürdürülebilirlik ilkeleri çerçevesinde yürütüldüğünü ortaya koymaktadır.</w:t>
      </w:r>
    </w:p>
    <w:p>
      <w:pPr>
        <w:pStyle w:val="GvdeMetni"/>
        <w:tabs>
          <w:tab w:val="left" w:pos="440"/>
        </w:tabs>
        <w:spacing w:before="120" w:after="120" w:line="360" w:lineRule="auto"/>
        <w:jc w:val="both"/>
      </w:pPr>
      <w:r>
        <w:t xml:space="preserve">Yüksekokulumuzdaki son beş yıla ilişkin bölüm ve programlar bazındaki öğrenci sayıları aşağıdaki </w:t>
      </w:r>
      <w:r>
        <w:rPr>
          <w:b/>
          <w:bCs/>
        </w:rPr>
        <w:t>Tablo 2</w:t>
      </w:r>
      <w:r>
        <w:t>’de sunulmuştur.</w:t>
      </w:r>
    </w:p>
    <w:p>
      <w:pPr>
        <w:pStyle w:val="GvdeMetni"/>
        <w:tabs>
          <w:tab w:val="left" w:pos="440"/>
        </w:tabs>
        <w:spacing w:before="21" w:line="259" w:lineRule="auto"/>
        <w:ind w:right="195"/>
        <w:jc w:val="center"/>
        <w:rPr>
          <w:b/>
        </w:rPr>
      </w:pPr>
      <w:r>
        <w:rPr>
          <w:b/>
        </w:rPr>
        <w:t>Tablo 2. Son 6 Yıla İlişkin Öğrenci Sayıları</w:t>
      </w:r>
    </w:p>
    <w:tbl>
      <w:tblPr>
        <w:tblStyle w:val="TabloKlavuzu"/>
        <w:tblW w:w="8697" w:type="dxa"/>
        <w:tblInd w:w="200" w:type="dxa"/>
        <w:tblLook w:val="04A0"/>
      </w:tblPr>
      <w:tblGrid>
        <w:gridCol w:w="1646"/>
        <w:gridCol w:w="2185"/>
        <w:gridCol w:w="811"/>
        <w:gridCol w:w="811"/>
        <w:gridCol w:w="811"/>
        <w:gridCol w:w="811"/>
        <w:gridCol w:w="811"/>
        <w:gridCol w:w="811"/>
      </w:tblGrid>
      <w:tr>
        <w:trPr>
          <w:trHeight w:val="323"/>
        </w:trPr>
        <w:tc>
          <w:tcPr>
            <w:tcW w:w="1708" w:type="dxa"/>
          </w:tcPr>
          <w:p>
            <w:pPr>
              <w:pStyle w:val="GvdeMetni"/>
              <w:tabs>
                <w:tab w:val="left" w:pos="440"/>
              </w:tabs>
              <w:spacing w:before="21" w:line="259" w:lineRule="auto"/>
              <w:ind w:right="195"/>
              <w:rPr>
                <w:b/>
                <w:sz w:val="20"/>
                <w:szCs w:val="20"/>
                <w:lang w:val="tr-TR"/>
              </w:rPr>
            </w:pPr>
            <w:bookmarkStart w:id="0" w:name="_Hlk190205517"/>
            <w:r>
              <w:rPr>
                <w:b/>
                <w:sz w:val="20"/>
                <w:szCs w:val="20"/>
                <w:lang w:val="tr-TR"/>
              </w:rPr>
              <w:t>Bölüm Adı</w:t>
            </w:r>
          </w:p>
        </w:tc>
        <w:tc>
          <w:tcPr>
            <w:tcW w:w="2418" w:type="dxa"/>
          </w:tcPr>
          <w:p>
            <w:pPr>
              <w:pStyle w:val="GvdeMetni"/>
              <w:tabs>
                <w:tab w:val="left" w:pos="440"/>
              </w:tabs>
              <w:spacing w:before="21" w:line="259" w:lineRule="auto"/>
              <w:ind w:right="195"/>
              <w:rPr>
                <w:b/>
                <w:sz w:val="20"/>
                <w:szCs w:val="20"/>
                <w:lang w:val="tr-TR"/>
              </w:rPr>
            </w:pPr>
            <w:r>
              <w:rPr>
                <w:b/>
                <w:sz w:val="20"/>
                <w:szCs w:val="20"/>
                <w:lang w:val="tr-TR"/>
              </w:rPr>
              <w:t>Program Adı</w:t>
            </w:r>
          </w:p>
        </w:tc>
        <w:tc>
          <w:tcPr>
            <w:tcW w:w="764" w:type="dxa"/>
            <w:vAlign w:val="center"/>
          </w:tcPr>
          <w:p>
            <w:pPr>
              <w:pStyle w:val="GvdeMetni"/>
              <w:tabs>
                <w:tab w:val="left" w:pos="440"/>
              </w:tabs>
              <w:spacing w:before="21" w:line="259" w:lineRule="auto"/>
              <w:ind w:right="195"/>
              <w:jc w:val="center"/>
              <w:rPr>
                <w:b/>
                <w:sz w:val="20"/>
                <w:szCs w:val="20"/>
              </w:rPr>
            </w:pPr>
            <w:r>
              <w:rPr>
                <w:b/>
                <w:sz w:val="20"/>
                <w:szCs w:val="20"/>
              </w:rPr>
              <w:t>2020</w:t>
            </w:r>
          </w:p>
        </w:tc>
        <w:tc>
          <w:tcPr>
            <w:tcW w:w="761" w:type="dxa"/>
            <w:vAlign w:val="center"/>
          </w:tcPr>
          <w:p>
            <w:pPr>
              <w:pStyle w:val="GvdeMetni"/>
              <w:tabs>
                <w:tab w:val="left" w:pos="440"/>
              </w:tabs>
              <w:spacing w:before="21" w:line="259" w:lineRule="auto"/>
              <w:ind w:right="195"/>
              <w:jc w:val="center"/>
              <w:rPr>
                <w:b/>
                <w:sz w:val="20"/>
                <w:szCs w:val="20"/>
              </w:rPr>
            </w:pPr>
            <w:r>
              <w:rPr>
                <w:b/>
                <w:sz w:val="20"/>
                <w:szCs w:val="20"/>
              </w:rPr>
              <w:t>2021</w:t>
            </w:r>
          </w:p>
        </w:tc>
        <w:tc>
          <w:tcPr>
            <w:tcW w:w="761" w:type="dxa"/>
            <w:vAlign w:val="center"/>
          </w:tcPr>
          <w:p>
            <w:pPr>
              <w:pStyle w:val="GvdeMetni"/>
              <w:tabs>
                <w:tab w:val="left" w:pos="440"/>
              </w:tabs>
              <w:spacing w:before="21" w:line="259" w:lineRule="auto"/>
              <w:ind w:right="195"/>
              <w:jc w:val="center"/>
              <w:rPr>
                <w:b/>
                <w:sz w:val="20"/>
                <w:szCs w:val="20"/>
              </w:rPr>
            </w:pPr>
            <w:r>
              <w:rPr>
                <w:b/>
                <w:sz w:val="20"/>
                <w:szCs w:val="20"/>
              </w:rPr>
              <w:t>2022</w:t>
            </w:r>
          </w:p>
        </w:tc>
        <w:tc>
          <w:tcPr>
            <w:tcW w:w="762" w:type="dxa"/>
            <w:vAlign w:val="center"/>
          </w:tcPr>
          <w:p>
            <w:pPr>
              <w:pStyle w:val="GvdeMetni"/>
              <w:tabs>
                <w:tab w:val="left" w:pos="440"/>
              </w:tabs>
              <w:spacing w:before="21" w:line="259" w:lineRule="auto"/>
              <w:ind w:right="195"/>
              <w:jc w:val="center"/>
              <w:rPr>
                <w:b/>
                <w:sz w:val="20"/>
                <w:szCs w:val="20"/>
              </w:rPr>
            </w:pPr>
            <w:r>
              <w:rPr>
                <w:b/>
                <w:sz w:val="20"/>
                <w:szCs w:val="20"/>
              </w:rPr>
              <w:t>2023</w:t>
            </w:r>
          </w:p>
        </w:tc>
        <w:tc>
          <w:tcPr>
            <w:tcW w:w="761" w:type="dxa"/>
            <w:vAlign w:val="center"/>
          </w:tcPr>
          <w:p>
            <w:pPr>
              <w:pStyle w:val="GvdeMetni"/>
              <w:tabs>
                <w:tab w:val="left" w:pos="440"/>
              </w:tabs>
              <w:spacing w:before="21" w:line="259" w:lineRule="auto"/>
              <w:ind w:right="195"/>
              <w:jc w:val="center"/>
              <w:rPr>
                <w:b/>
                <w:sz w:val="20"/>
                <w:szCs w:val="20"/>
              </w:rPr>
            </w:pPr>
            <w:r>
              <w:rPr>
                <w:b/>
                <w:sz w:val="20"/>
                <w:szCs w:val="20"/>
              </w:rPr>
              <w:t>2024</w:t>
            </w:r>
          </w:p>
        </w:tc>
        <w:tc>
          <w:tcPr>
            <w:tcW w:w="761" w:type="dxa"/>
            <w:vAlign w:val="center"/>
          </w:tcPr>
          <w:p>
            <w:pPr>
              <w:pStyle w:val="GvdeMetni"/>
              <w:tabs>
                <w:tab w:val="left" w:pos="440"/>
              </w:tabs>
              <w:spacing w:before="21" w:line="259" w:lineRule="auto"/>
              <w:ind w:right="195"/>
              <w:jc w:val="center"/>
              <w:rPr>
                <w:b/>
                <w:sz w:val="20"/>
                <w:szCs w:val="20"/>
              </w:rPr>
            </w:pPr>
            <w:r>
              <w:rPr>
                <w:b/>
                <w:sz w:val="20"/>
                <w:szCs w:val="20"/>
              </w:rPr>
              <w:t>2025</w:t>
            </w:r>
          </w:p>
        </w:tc>
      </w:tr>
      <w:tr>
        <w:trPr>
          <w:trHeight w:val="636"/>
        </w:trPr>
        <w:tc>
          <w:tcPr>
            <w:tcW w:w="1708" w:type="dxa"/>
            <w:vMerge w:val="restart"/>
            <w:vAlign w:val="center"/>
          </w:tcPr>
          <w:p>
            <w:pPr>
              <w:pStyle w:val="GvdeMetni"/>
              <w:tabs>
                <w:tab w:val="left" w:pos="440"/>
              </w:tabs>
              <w:spacing w:before="21" w:line="259" w:lineRule="auto"/>
              <w:ind w:right="195"/>
              <w:rPr>
                <w:sz w:val="20"/>
                <w:szCs w:val="20"/>
                <w:lang w:val="tr-TR"/>
              </w:rPr>
            </w:pPr>
            <w:r>
              <w:rPr>
                <w:sz w:val="20"/>
                <w:szCs w:val="20"/>
                <w:lang w:val="tr-TR"/>
              </w:rPr>
              <w:t>Finans, Bankacılık ve Sigortacılık</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Bankacılık ve Sigortacılık</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45</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43</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60</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52</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48</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25</w:t>
            </w:r>
          </w:p>
        </w:tc>
      </w:tr>
      <w:tr>
        <w:trPr>
          <w:trHeight w:val="149"/>
        </w:trPr>
        <w:tc>
          <w:tcPr>
            <w:tcW w:w="1708" w:type="dxa"/>
            <w:vMerge/>
            <w:vAlign w:val="center"/>
          </w:tcPr>
          <w:p>
            <w:pPr>
              <w:pStyle w:val="GvdeMetni"/>
              <w:tabs>
                <w:tab w:val="left" w:pos="440"/>
              </w:tabs>
              <w:spacing w:before="21" w:line="259" w:lineRule="auto"/>
              <w:ind w:right="195"/>
              <w:rPr>
                <w:sz w:val="20"/>
                <w:szCs w:val="20"/>
                <w:lang w:val="tr-TR"/>
              </w:rPr>
            </w:pP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Maliye</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18</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17</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53</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41</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38</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28</w:t>
            </w:r>
          </w:p>
        </w:tc>
      </w:tr>
      <w:tr>
        <w:trPr>
          <w:trHeight w:val="636"/>
        </w:trPr>
        <w:tc>
          <w:tcPr>
            <w:tcW w:w="1708" w:type="dxa"/>
            <w:vMerge w:val="restart"/>
            <w:vAlign w:val="center"/>
          </w:tcPr>
          <w:p>
            <w:pPr>
              <w:pStyle w:val="GvdeMetni"/>
              <w:tabs>
                <w:tab w:val="left" w:pos="440"/>
              </w:tabs>
              <w:spacing w:before="21" w:line="259" w:lineRule="auto"/>
              <w:ind w:right="195"/>
              <w:rPr>
                <w:sz w:val="20"/>
                <w:szCs w:val="20"/>
                <w:lang w:val="tr-TR"/>
              </w:rPr>
            </w:pPr>
            <w:r>
              <w:rPr>
                <w:sz w:val="20"/>
                <w:szCs w:val="20"/>
                <w:lang w:val="tr-TR"/>
              </w:rPr>
              <w:t>Pazarlama ve Reklamcılık</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Halkla İlişkiler ve Tanıtım</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14</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22</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44</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39</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34</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38</w:t>
            </w:r>
          </w:p>
        </w:tc>
      </w:tr>
      <w:tr>
        <w:trPr>
          <w:trHeight w:val="149"/>
        </w:trPr>
        <w:tc>
          <w:tcPr>
            <w:tcW w:w="1708" w:type="dxa"/>
            <w:vMerge/>
            <w:vAlign w:val="center"/>
          </w:tcPr>
          <w:p>
            <w:pPr>
              <w:pStyle w:val="GvdeMetni"/>
              <w:tabs>
                <w:tab w:val="left" w:pos="440"/>
              </w:tabs>
              <w:spacing w:before="21" w:line="259" w:lineRule="auto"/>
              <w:ind w:right="195"/>
              <w:rPr>
                <w:sz w:val="20"/>
                <w:szCs w:val="20"/>
                <w:lang w:val="tr-TR"/>
              </w:rPr>
            </w:pP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Medya ve İletişim</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29</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28</w:t>
            </w:r>
          </w:p>
        </w:tc>
      </w:tr>
      <w:tr>
        <w:trPr>
          <w:trHeight w:val="636"/>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t>Yönetim ve Organizasyon</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Sağlık Kurumları İşletmeciliği</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50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61</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81</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76</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56</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30</w:t>
            </w:r>
          </w:p>
        </w:tc>
      </w:tr>
      <w:tr>
        <w:trPr>
          <w:trHeight w:val="647"/>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t>Veterinerlik</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Laborant ve Veteriner Sağlık</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59</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55</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71</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65</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59</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62</w:t>
            </w:r>
          </w:p>
        </w:tc>
      </w:tr>
      <w:tr>
        <w:trPr>
          <w:trHeight w:val="636"/>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t>Tıbbi Hizmetler ve Teknikler</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Tıbbi Dokümantasyon ve Sekreterlik</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37</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36</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42</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33</w:t>
            </w:r>
          </w:p>
        </w:tc>
      </w:tr>
      <w:tr>
        <w:trPr>
          <w:trHeight w:val="947"/>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t>Mülkiyet Koruma ve Güvenlik</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Sosyal Güvenlik</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40</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41</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37</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37</w:t>
            </w:r>
          </w:p>
        </w:tc>
      </w:tr>
      <w:tr>
        <w:trPr>
          <w:trHeight w:val="647"/>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lastRenderedPageBreak/>
              <w:t>Ulaştırma Hizmetleri</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Posta Hizmetleri</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r>
      <w:tr>
        <w:trPr>
          <w:trHeight w:val="636"/>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t>Sosyal Hizmet ve Danışmanlık</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Sosyal Hizmetler</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r>
      <w:tr>
        <w:trPr>
          <w:trHeight w:val="336"/>
        </w:trPr>
        <w:tc>
          <w:tcPr>
            <w:tcW w:w="1708" w:type="dxa"/>
            <w:vAlign w:val="center"/>
          </w:tcPr>
          <w:p>
            <w:pPr>
              <w:pStyle w:val="GvdeMetni"/>
              <w:tabs>
                <w:tab w:val="left" w:pos="440"/>
              </w:tabs>
              <w:spacing w:before="21" w:line="259" w:lineRule="auto"/>
              <w:ind w:right="195"/>
              <w:rPr>
                <w:sz w:val="20"/>
                <w:szCs w:val="20"/>
                <w:lang w:val="tr-TR"/>
              </w:rPr>
            </w:pPr>
            <w:r>
              <w:rPr>
                <w:sz w:val="20"/>
                <w:szCs w:val="20"/>
                <w:lang w:val="tr-TR"/>
              </w:rPr>
              <w:t>Tasarım</w:t>
            </w:r>
          </w:p>
        </w:tc>
        <w:tc>
          <w:tcPr>
            <w:tcW w:w="2418" w:type="dxa"/>
            <w:vAlign w:val="center"/>
          </w:tcPr>
          <w:p>
            <w:pPr>
              <w:pStyle w:val="GvdeMetni"/>
              <w:tabs>
                <w:tab w:val="left" w:pos="440"/>
              </w:tabs>
              <w:spacing w:before="21" w:line="259" w:lineRule="auto"/>
              <w:ind w:right="195"/>
              <w:rPr>
                <w:sz w:val="20"/>
                <w:szCs w:val="20"/>
                <w:lang w:val="tr-TR"/>
              </w:rPr>
            </w:pPr>
            <w:r>
              <w:rPr>
                <w:sz w:val="20"/>
                <w:szCs w:val="20"/>
                <w:lang w:val="tr-TR"/>
              </w:rPr>
              <w:t>Grafik Tasarım</w:t>
            </w:r>
          </w:p>
        </w:tc>
        <w:tc>
          <w:tcPr>
            <w:tcW w:w="764"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2"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c>
          <w:tcPr>
            <w:tcW w:w="761" w:type="dxa"/>
            <w:vAlign w:val="center"/>
          </w:tcPr>
          <w:p>
            <w:pPr>
              <w:pStyle w:val="GvdeMetni"/>
              <w:tabs>
                <w:tab w:val="left" w:pos="440"/>
              </w:tabs>
              <w:spacing w:before="21" w:line="259" w:lineRule="auto"/>
              <w:ind w:right="195"/>
              <w:jc w:val="center"/>
              <w:rPr>
                <w:sz w:val="20"/>
                <w:szCs w:val="20"/>
              </w:rPr>
            </w:pPr>
            <w:r>
              <w:rPr>
                <w:sz w:val="20"/>
                <w:szCs w:val="20"/>
              </w:rPr>
              <w:t>0</w:t>
            </w:r>
          </w:p>
        </w:tc>
      </w:tr>
      <w:tr>
        <w:trPr>
          <w:trHeight w:val="323"/>
        </w:trPr>
        <w:tc>
          <w:tcPr>
            <w:tcW w:w="4127" w:type="dxa"/>
            <w:gridSpan w:val="2"/>
            <w:vAlign w:val="center"/>
          </w:tcPr>
          <w:p>
            <w:pPr>
              <w:pStyle w:val="GvdeMetni"/>
              <w:tabs>
                <w:tab w:val="left" w:pos="440"/>
              </w:tabs>
              <w:spacing w:before="21" w:line="259" w:lineRule="auto"/>
              <w:ind w:right="195"/>
              <w:jc w:val="right"/>
              <w:rPr>
                <w:b/>
                <w:bCs/>
                <w:sz w:val="20"/>
                <w:szCs w:val="20"/>
              </w:rPr>
            </w:pPr>
            <w:r>
              <w:rPr>
                <w:b/>
                <w:bCs/>
                <w:sz w:val="20"/>
                <w:szCs w:val="20"/>
              </w:rPr>
              <w:t>TOPLAM</w:t>
            </w:r>
          </w:p>
        </w:tc>
        <w:tc>
          <w:tcPr>
            <w:tcW w:w="764" w:type="dxa"/>
            <w:vAlign w:val="center"/>
          </w:tcPr>
          <w:p>
            <w:pPr>
              <w:pStyle w:val="GvdeMetni"/>
              <w:tabs>
                <w:tab w:val="left" w:pos="440"/>
              </w:tabs>
              <w:spacing w:before="21" w:line="259" w:lineRule="auto"/>
              <w:ind w:right="195"/>
              <w:jc w:val="center"/>
              <w:rPr>
                <w:b/>
                <w:bCs/>
                <w:sz w:val="20"/>
                <w:szCs w:val="20"/>
              </w:rPr>
            </w:pPr>
            <w:r>
              <w:rPr>
                <w:b/>
                <w:bCs/>
                <w:sz w:val="20"/>
                <w:szCs w:val="20"/>
              </w:rPr>
              <w:t>186</w:t>
            </w:r>
          </w:p>
        </w:tc>
        <w:tc>
          <w:tcPr>
            <w:tcW w:w="761" w:type="dxa"/>
            <w:vAlign w:val="center"/>
          </w:tcPr>
          <w:p>
            <w:pPr>
              <w:pStyle w:val="GvdeMetni"/>
              <w:tabs>
                <w:tab w:val="left" w:pos="440"/>
              </w:tabs>
              <w:spacing w:before="21" w:line="259" w:lineRule="auto"/>
              <w:ind w:right="195"/>
              <w:jc w:val="center"/>
              <w:rPr>
                <w:b/>
                <w:bCs/>
                <w:sz w:val="20"/>
                <w:szCs w:val="20"/>
              </w:rPr>
            </w:pPr>
            <w:r>
              <w:rPr>
                <w:b/>
                <w:bCs/>
                <w:sz w:val="20"/>
                <w:szCs w:val="20"/>
              </w:rPr>
              <w:t>198</w:t>
            </w:r>
          </w:p>
        </w:tc>
        <w:tc>
          <w:tcPr>
            <w:tcW w:w="761" w:type="dxa"/>
            <w:vAlign w:val="center"/>
          </w:tcPr>
          <w:p>
            <w:pPr>
              <w:pStyle w:val="GvdeMetni"/>
              <w:tabs>
                <w:tab w:val="left" w:pos="440"/>
              </w:tabs>
              <w:spacing w:before="21" w:line="259" w:lineRule="auto"/>
              <w:ind w:right="195"/>
              <w:jc w:val="center"/>
              <w:rPr>
                <w:b/>
                <w:bCs/>
                <w:sz w:val="20"/>
                <w:szCs w:val="20"/>
              </w:rPr>
            </w:pPr>
            <w:r>
              <w:rPr>
                <w:b/>
                <w:bCs/>
                <w:sz w:val="20"/>
                <w:szCs w:val="20"/>
              </w:rPr>
              <w:t>386</w:t>
            </w:r>
          </w:p>
        </w:tc>
        <w:tc>
          <w:tcPr>
            <w:tcW w:w="762" w:type="dxa"/>
            <w:vAlign w:val="center"/>
          </w:tcPr>
          <w:p>
            <w:pPr>
              <w:pStyle w:val="GvdeMetni"/>
              <w:tabs>
                <w:tab w:val="left" w:pos="440"/>
              </w:tabs>
              <w:spacing w:before="21" w:line="259" w:lineRule="auto"/>
              <w:ind w:right="195"/>
              <w:jc w:val="center"/>
              <w:rPr>
                <w:b/>
                <w:bCs/>
                <w:sz w:val="20"/>
                <w:szCs w:val="20"/>
              </w:rPr>
            </w:pPr>
            <w:r>
              <w:rPr>
                <w:b/>
                <w:bCs/>
                <w:sz w:val="20"/>
                <w:szCs w:val="20"/>
              </w:rPr>
              <w:t>350</w:t>
            </w:r>
          </w:p>
        </w:tc>
        <w:tc>
          <w:tcPr>
            <w:tcW w:w="761" w:type="dxa"/>
            <w:vAlign w:val="center"/>
          </w:tcPr>
          <w:p>
            <w:pPr>
              <w:pStyle w:val="GvdeMetni"/>
              <w:tabs>
                <w:tab w:val="left" w:pos="440"/>
              </w:tabs>
              <w:spacing w:before="21" w:line="259" w:lineRule="auto"/>
              <w:ind w:right="195"/>
              <w:jc w:val="center"/>
              <w:rPr>
                <w:b/>
                <w:bCs/>
                <w:sz w:val="20"/>
                <w:szCs w:val="20"/>
              </w:rPr>
            </w:pPr>
            <w:r>
              <w:rPr>
                <w:b/>
                <w:bCs/>
                <w:sz w:val="20"/>
                <w:szCs w:val="20"/>
              </w:rPr>
              <w:t>343</w:t>
            </w:r>
          </w:p>
        </w:tc>
        <w:tc>
          <w:tcPr>
            <w:tcW w:w="761" w:type="dxa"/>
          </w:tcPr>
          <w:p>
            <w:pPr>
              <w:pStyle w:val="GvdeMetni"/>
              <w:tabs>
                <w:tab w:val="left" w:pos="440"/>
              </w:tabs>
              <w:spacing w:before="21" w:line="259" w:lineRule="auto"/>
              <w:ind w:right="195"/>
              <w:jc w:val="center"/>
              <w:rPr>
                <w:b/>
                <w:bCs/>
                <w:sz w:val="20"/>
                <w:szCs w:val="20"/>
              </w:rPr>
            </w:pPr>
            <w:r>
              <w:rPr>
                <w:b/>
                <w:bCs/>
                <w:sz w:val="20"/>
                <w:szCs w:val="20"/>
              </w:rPr>
              <w:t>281</w:t>
            </w:r>
          </w:p>
        </w:tc>
      </w:tr>
      <w:bookmarkEnd w:id="0"/>
    </w:tbl>
    <w:p>
      <w:pPr>
        <w:pStyle w:val="GvdeMetni"/>
        <w:tabs>
          <w:tab w:val="left" w:pos="440"/>
        </w:tabs>
        <w:spacing w:before="21" w:line="259" w:lineRule="auto"/>
        <w:ind w:right="195"/>
        <w:jc w:val="both"/>
      </w:pPr>
    </w:p>
    <w:p>
      <w:pPr>
        <w:pStyle w:val="GvdeMetni"/>
        <w:tabs>
          <w:tab w:val="left" w:pos="440"/>
        </w:tabs>
        <w:spacing w:before="120" w:after="120" w:line="360" w:lineRule="auto"/>
        <w:jc w:val="both"/>
      </w:pPr>
      <w:r>
        <w:t xml:space="preserve">Alucra Turan Bulutçu Meslek Yüksekokulu bünyesinde hâlihazırda </w:t>
      </w:r>
      <w:r>
        <w:rPr>
          <w:b/>
          <w:bCs/>
        </w:rPr>
        <w:t>28 akademik personel</w:t>
      </w:r>
      <w:r>
        <w:t xml:space="preserve"> ve </w:t>
      </w:r>
      <w:r>
        <w:rPr>
          <w:b/>
          <w:bCs/>
        </w:rPr>
        <w:t>12 idari personel</w:t>
      </w:r>
      <w:r>
        <w:t xml:space="preserve"> görev yapmaktadır.</w:t>
      </w:r>
    </w:p>
    <w:p>
      <w:pPr>
        <w:pStyle w:val="GvdeMetni"/>
        <w:tabs>
          <w:tab w:val="left" w:pos="440"/>
        </w:tabs>
        <w:spacing w:before="120" w:after="120" w:line="360" w:lineRule="auto"/>
        <w:jc w:val="both"/>
      </w:pPr>
      <w:r>
        <w:t>Akademik ve idari personele ilişkin ayrıntılı bilgiler birimimizin resmî internet sayfasında kamuoyu ile paylaşılmaktadır.</w:t>
      </w:r>
    </w:p>
    <w:p>
      <w:pPr>
        <w:pStyle w:val="GvdeMetni"/>
        <w:tabs>
          <w:tab w:val="left" w:pos="440"/>
        </w:tabs>
        <w:spacing w:before="120" w:after="120" w:line="360" w:lineRule="auto"/>
        <w:jc w:val="both"/>
        <w:rPr>
          <w:b/>
          <w:bCs/>
        </w:rPr>
      </w:pPr>
      <w:r>
        <w:rPr>
          <w:b/>
          <w:bCs/>
        </w:rPr>
        <w:t>Fiziksel Altyapı ve Eğitim Ortamları</w:t>
      </w:r>
    </w:p>
    <w:p>
      <w:pPr>
        <w:pStyle w:val="GvdeMetni"/>
        <w:tabs>
          <w:tab w:val="left" w:pos="440"/>
        </w:tabs>
        <w:spacing w:before="120" w:after="120" w:line="360" w:lineRule="auto"/>
        <w:jc w:val="both"/>
      </w:pPr>
      <w:r>
        <w:t>Fiziksel altyapı ve eğitim ortamları bakımından Yüksekokulumuz, uygulama temelli mesleki eğitimi destekleyen bir donanıma sahiptir. Bu kapsamda:</w:t>
      </w:r>
    </w:p>
    <w:p>
      <w:pPr>
        <w:pStyle w:val="GvdeMetni"/>
        <w:numPr>
          <w:ilvl w:val="0"/>
          <w:numId w:val="18"/>
        </w:numPr>
        <w:tabs>
          <w:tab w:val="left" w:pos="440"/>
        </w:tabs>
        <w:spacing w:before="120" w:after="120" w:line="360" w:lineRule="auto"/>
        <w:jc w:val="both"/>
      </w:pPr>
      <w:r>
        <w:t xml:space="preserve">Tamamı projeksiyon cihazı, sunum perdesi ve ergonomik sıralarla donatılmış </w:t>
      </w:r>
      <w:r>
        <w:rPr>
          <w:b/>
          <w:bCs/>
        </w:rPr>
        <w:t>16 derslik</w:t>
      </w:r>
      <w:r>
        <w:t>,</w:t>
      </w:r>
    </w:p>
    <w:p>
      <w:pPr>
        <w:pStyle w:val="GvdeMetni"/>
        <w:numPr>
          <w:ilvl w:val="0"/>
          <w:numId w:val="18"/>
        </w:numPr>
        <w:tabs>
          <w:tab w:val="left" w:pos="440"/>
        </w:tabs>
        <w:spacing w:before="120" w:after="120" w:line="360" w:lineRule="auto"/>
        <w:jc w:val="both"/>
      </w:pPr>
      <w:r>
        <w:rPr>
          <w:b/>
          <w:bCs/>
        </w:rPr>
        <w:t>1 kütüphane</w:t>
      </w:r>
      <w:r>
        <w:t>,</w:t>
      </w:r>
    </w:p>
    <w:p>
      <w:pPr>
        <w:pStyle w:val="GvdeMetni"/>
        <w:numPr>
          <w:ilvl w:val="0"/>
          <w:numId w:val="18"/>
        </w:numPr>
        <w:tabs>
          <w:tab w:val="left" w:pos="440"/>
        </w:tabs>
        <w:spacing w:before="120" w:after="120" w:line="360" w:lineRule="auto"/>
        <w:jc w:val="both"/>
      </w:pPr>
      <w:r>
        <w:rPr>
          <w:b/>
          <w:bCs/>
        </w:rPr>
        <w:t>2 bilgisayar laboratuvarı</w:t>
      </w:r>
      <w:r>
        <w:t>,</w:t>
      </w:r>
    </w:p>
    <w:p>
      <w:pPr>
        <w:pStyle w:val="GvdeMetni"/>
        <w:numPr>
          <w:ilvl w:val="0"/>
          <w:numId w:val="18"/>
        </w:numPr>
        <w:tabs>
          <w:tab w:val="left" w:pos="440"/>
        </w:tabs>
        <w:spacing w:before="120" w:after="120" w:line="360" w:lineRule="auto"/>
        <w:jc w:val="both"/>
      </w:pPr>
      <w:r>
        <w:rPr>
          <w:b/>
          <w:bCs/>
        </w:rPr>
        <w:t>1 Veteriner Uygulama Laboratuvarı</w:t>
      </w:r>
      <w:r>
        <w:t>,</w:t>
      </w:r>
    </w:p>
    <w:p>
      <w:pPr>
        <w:pStyle w:val="GvdeMetni"/>
        <w:numPr>
          <w:ilvl w:val="0"/>
          <w:numId w:val="18"/>
        </w:numPr>
        <w:tabs>
          <w:tab w:val="left" w:pos="440"/>
        </w:tabs>
        <w:spacing w:before="120" w:after="120" w:line="360" w:lineRule="auto"/>
        <w:jc w:val="both"/>
      </w:pPr>
      <w:r>
        <w:rPr>
          <w:b/>
          <w:bCs/>
        </w:rPr>
        <w:t>1 Veteriner Uygulama Kliniği</w:t>
      </w:r>
      <w:r>
        <w:t>,</w:t>
      </w:r>
    </w:p>
    <w:p>
      <w:pPr>
        <w:pStyle w:val="GvdeMetni"/>
        <w:numPr>
          <w:ilvl w:val="0"/>
          <w:numId w:val="18"/>
        </w:numPr>
        <w:tabs>
          <w:tab w:val="left" w:pos="440"/>
        </w:tabs>
        <w:spacing w:before="120" w:after="120" w:line="360" w:lineRule="auto"/>
        <w:jc w:val="both"/>
      </w:pPr>
      <w:r>
        <w:rPr>
          <w:b/>
          <w:bCs/>
        </w:rPr>
        <w:t>1 Anatomi Laboratuvarı</w:t>
      </w:r>
      <w:r>
        <w:t>,</w:t>
      </w:r>
    </w:p>
    <w:p>
      <w:pPr>
        <w:pStyle w:val="GvdeMetni"/>
        <w:numPr>
          <w:ilvl w:val="0"/>
          <w:numId w:val="18"/>
        </w:numPr>
        <w:tabs>
          <w:tab w:val="left" w:pos="440"/>
        </w:tabs>
        <w:spacing w:before="120" w:after="120" w:line="360" w:lineRule="auto"/>
        <w:jc w:val="both"/>
      </w:pPr>
      <w:r>
        <w:rPr>
          <w:b/>
          <w:bCs/>
        </w:rPr>
        <w:t>1 Medya Atölyesi</w:t>
      </w:r>
      <w:r>
        <w:t>,</w:t>
      </w:r>
    </w:p>
    <w:p>
      <w:pPr>
        <w:pStyle w:val="GvdeMetni"/>
        <w:numPr>
          <w:ilvl w:val="0"/>
          <w:numId w:val="18"/>
        </w:numPr>
        <w:tabs>
          <w:tab w:val="left" w:pos="440"/>
        </w:tabs>
        <w:spacing w:before="120" w:after="120" w:line="360" w:lineRule="auto"/>
        <w:jc w:val="both"/>
      </w:pPr>
      <w:r>
        <w:rPr>
          <w:b/>
          <w:bCs/>
        </w:rPr>
        <w:t>1 Radyo Odası</w:t>
      </w:r>
      <w:r>
        <w:t>,</w:t>
      </w:r>
    </w:p>
    <w:p>
      <w:pPr>
        <w:pStyle w:val="GvdeMetni"/>
        <w:numPr>
          <w:ilvl w:val="0"/>
          <w:numId w:val="18"/>
        </w:numPr>
        <w:tabs>
          <w:tab w:val="left" w:pos="440"/>
        </w:tabs>
        <w:spacing w:before="120" w:after="120" w:line="360" w:lineRule="auto"/>
        <w:jc w:val="both"/>
      </w:pPr>
      <w:r>
        <w:rPr>
          <w:b/>
          <w:bCs/>
        </w:rPr>
        <w:t>1 Konferans Salonu</w:t>
      </w:r>
    </w:p>
    <w:p>
      <w:pPr>
        <w:pStyle w:val="GvdeMetni"/>
        <w:tabs>
          <w:tab w:val="left" w:pos="440"/>
        </w:tabs>
        <w:spacing w:before="120" w:after="120" w:line="360" w:lineRule="auto"/>
        <w:jc w:val="both"/>
      </w:pPr>
      <w:r>
        <w:t>bulunmaktadır.</w:t>
      </w:r>
    </w:p>
    <w:p>
      <w:pPr>
        <w:pStyle w:val="GvdeMetni"/>
        <w:tabs>
          <w:tab w:val="left" w:pos="440"/>
        </w:tabs>
        <w:spacing w:before="120" w:after="120" w:line="360" w:lineRule="auto"/>
        <w:jc w:val="both"/>
      </w:pPr>
      <w:r>
        <w:t>Söz konusu fiziki ve teknik altyapı, özellikle uygulama ağırlıklı programlar açısından öğrenci merkezli öğrenme ortamlarının oluşturulmasına katkı sağlamakta; teorik bilginin pratiğe aktarılmasını destekleyen bütünleşik bir eğitim modeli sunmaktadır.</w:t>
      </w:r>
    </w:p>
    <w:p>
      <w:pPr>
        <w:pStyle w:val="GvdeMetni"/>
        <w:tabs>
          <w:tab w:val="left" w:pos="440"/>
        </w:tabs>
        <w:spacing w:before="120" w:after="120" w:line="360" w:lineRule="auto"/>
        <w:jc w:val="both"/>
      </w:pPr>
      <w:r>
        <w:t>Bu yönüyle Yüksekokulumuz, kalite güvencesi anlayışı çerçevesinde insan kaynağı ile fiziki imkânlarını eş zamanlı geliştirme hedefini sürdürmektedir.</w:t>
      </w:r>
    </w:p>
    <w:p>
      <w:pPr>
        <w:pStyle w:val="GvdeMetni"/>
        <w:tabs>
          <w:tab w:val="left" w:pos="440"/>
        </w:tabs>
        <w:spacing w:before="120" w:after="120" w:line="360" w:lineRule="auto"/>
        <w:jc w:val="both"/>
      </w:pPr>
    </w:p>
    <w:p>
      <w:pPr>
        <w:pStyle w:val="GvdeMetni"/>
        <w:tabs>
          <w:tab w:val="left" w:pos="440"/>
        </w:tabs>
        <w:spacing w:before="120" w:after="120" w:line="360" w:lineRule="auto"/>
        <w:jc w:val="both"/>
        <w:rPr>
          <w:b/>
          <w:bCs/>
        </w:rPr>
      </w:pPr>
      <w:r>
        <w:rPr>
          <w:b/>
          <w:bCs/>
        </w:rPr>
        <w:t>1.1. Misyonu, Vizyonu, Değerleri ve Hedefleri</w:t>
      </w:r>
    </w:p>
    <w:p>
      <w:pPr>
        <w:pStyle w:val="GvdeMetni"/>
        <w:tabs>
          <w:tab w:val="left" w:pos="440"/>
        </w:tabs>
        <w:spacing w:before="120" w:after="120" w:line="360" w:lineRule="auto"/>
        <w:jc w:val="both"/>
      </w:pPr>
      <w:r>
        <w:t>Alucra Turan Bulutçu Meslek Yüksekokulu’nun misyon ve vizyonu birimimizin resmî internet sitesinde kamuoyu ile paylaşılmaktadır.</w:t>
      </w:r>
    </w:p>
    <w:p>
      <w:pPr>
        <w:pStyle w:val="GvdeMetni"/>
        <w:tabs>
          <w:tab w:val="left" w:pos="440"/>
        </w:tabs>
        <w:spacing w:before="120" w:after="120" w:line="360" w:lineRule="auto"/>
        <w:jc w:val="both"/>
        <w:rPr>
          <w:b/>
          <w:bCs/>
        </w:rPr>
      </w:pPr>
      <w:r>
        <w:rPr>
          <w:b/>
          <w:bCs/>
        </w:rPr>
        <w:t>Misyonumuz</w:t>
      </w:r>
    </w:p>
    <w:p>
      <w:pPr>
        <w:pStyle w:val="GvdeMetni"/>
        <w:tabs>
          <w:tab w:val="left" w:pos="440"/>
        </w:tabs>
        <w:spacing w:before="120" w:after="120" w:line="360" w:lineRule="auto"/>
        <w:jc w:val="both"/>
      </w:pPr>
      <w:r>
        <w:t>Yüksekokulumuz; çağdaş bilgi ile donanmış, bilgi çağının gerektirdiği kültürel birikime ve iletişim becerisine sahip, değişen koşullara uyum sağlayabilen, problem çözme yeteneği gelişmiş ve ekip çalışması ruhunu benimsemiş bireyler yetiştirmeyi amaçlamaktadır.</w:t>
      </w:r>
    </w:p>
    <w:p>
      <w:pPr>
        <w:pStyle w:val="GvdeMetni"/>
        <w:tabs>
          <w:tab w:val="left" w:pos="440"/>
        </w:tabs>
        <w:spacing w:before="120" w:after="120" w:line="360" w:lineRule="auto"/>
        <w:jc w:val="both"/>
      </w:pPr>
      <w:r>
        <w:t>Bu doğrultuda:</w:t>
      </w:r>
    </w:p>
    <w:p>
      <w:pPr>
        <w:pStyle w:val="GvdeMetni"/>
        <w:numPr>
          <w:ilvl w:val="0"/>
          <w:numId w:val="22"/>
        </w:numPr>
        <w:tabs>
          <w:tab w:val="left" w:pos="440"/>
        </w:tabs>
        <w:spacing w:before="120" w:after="120" w:line="360" w:lineRule="auto"/>
        <w:jc w:val="both"/>
      </w:pPr>
      <w:r>
        <w:t xml:space="preserve">Ülkesi ve insanlık için sorumluluk bilinci gelişmiş, düşünsel altyapısı şekillenmiş, </w:t>
      </w:r>
    </w:p>
    <w:p>
      <w:pPr>
        <w:pStyle w:val="GvdeMetni"/>
        <w:numPr>
          <w:ilvl w:val="0"/>
          <w:numId w:val="22"/>
        </w:numPr>
        <w:tabs>
          <w:tab w:val="left" w:pos="440"/>
        </w:tabs>
        <w:spacing w:before="120" w:after="120" w:line="360" w:lineRule="auto"/>
        <w:jc w:val="both"/>
      </w:pPr>
      <w:r>
        <w:t xml:space="preserve">Hür ve bilimsel düşünme gücüne sahip; laik, demokrat ve erdemli birey olmanın sevgi ve hoşgörü temelinde mümkün olduğuna inanmış, </w:t>
      </w:r>
    </w:p>
    <w:p>
      <w:pPr>
        <w:pStyle w:val="GvdeMetni"/>
        <w:numPr>
          <w:ilvl w:val="0"/>
          <w:numId w:val="22"/>
        </w:numPr>
        <w:tabs>
          <w:tab w:val="left" w:pos="440"/>
        </w:tabs>
        <w:spacing w:before="120" w:after="120" w:line="360" w:lineRule="auto"/>
        <w:jc w:val="both"/>
      </w:pPr>
      <w:r>
        <w:t xml:space="preserve">Milletimizin ve insanlığın geleceğe güvenle bakmasını sağlayacak bilgi, beceri, heyecan ve irade ile donatılmış, </w:t>
      </w:r>
    </w:p>
    <w:p>
      <w:pPr>
        <w:pStyle w:val="GvdeMetni"/>
        <w:numPr>
          <w:ilvl w:val="0"/>
          <w:numId w:val="22"/>
        </w:numPr>
        <w:tabs>
          <w:tab w:val="left" w:pos="440"/>
        </w:tabs>
        <w:spacing w:before="120" w:after="120" w:line="360" w:lineRule="auto"/>
        <w:jc w:val="both"/>
      </w:pPr>
      <w:r>
        <w:t xml:space="preserve">Atatürk ilke ve inkılapları ışığında Türk toplumunun değerlerini tanıyan ve tanıtan, </w:t>
      </w:r>
    </w:p>
    <w:p>
      <w:pPr>
        <w:pStyle w:val="GvdeMetni"/>
        <w:numPr>
          <w:ilvl w:val="0"/>
          <w:numId w:val="22"/>
        </w:numPr>
        <w:tabs>
          <w:tab w:val="left" w:pos="440"/>
        </w:tabs>
        <w:spacing w:before="120" w:after="120" w:line="360" w:lineRule="auto"/>
        <w:jc w:val="both"/>
      </w:pPr>
      <w:r>
        <w:t>Öğrencileriyle birlikte “Giresun Üniversiteli olma” bilincini gururla taşıyan</w:t>
      </w:r>
    </w:p>
    <w:p>
      <w:pPr>
        <w:pStyle w:val="GvdeMetni"/>
        <w:numPr>
          <w:ilvl w:val="0"/>
          <w:numId w:val="22"/>
        </w:numPr>
        <w:tabs>
          <w:tab w:val="left" w:pos="440"/>
        </w:tabs>
        <w:spacing w:before="120" w:after="120" w:line="360" w:lineRule="auto"/>
        <w:jc w:val="both"/>
      </w:pPr>
      <w:r>
        <w:t>mezunlar yetiştirmek temel hedefimizdir.</w:t>
      </w:r>
    </w:p>
    <w:p>
      <w:pPr>
        <w:pStyle w:val="GvdeMetni"/>
        <w:tabs>
          <w:tab w:val="left" w:pos="440"/>
        </w:tabs>
        <w:spacing w:before="120" w:after="120" w:line="360" w:lineRule="auto"/>
        <w:jc w:val="both"/>
        <w:rPr>
          <w:b/>
          <w:bCs/>
        </w:rPr>
      </w:pPr>
      <w:r>
        <w:rPr>
          <w:b/>
          <w:bCs/>
        </w:rPr>
        <w:t>Vizyonumuz</w:t>
      </w:r>
    </w:p>
    <w:p>
      <w:pPr>
        <w:pStyle w:val="GvdeMetni"/>
        <w:tabs>
          <w:tab w:val="left" w:pos="440"/>
        </w:tabs>
        <w:spacing w:before="120" w:after="120" w:line="360" w:lineRule="auto"/>
        <w:jc w:val="both"/>
      </w:pPr>
      <w:r>
        <w:t>Ticaret hayatının ihtiyaç duyduğu nitelikli ara eleman yetiştirme görevini başarıyla yerine getirirken; sürekli değişen iş koşullarına uyum sağlayabilecek mesleki beceri temeline ve teknolojinin dayandığı temel bilgilere sahip mezunlar yetiştiren, örnek gösterilen bir meslek yüksekokulu olmaktır.</w:t>
      </w:r>
    </w:p>
    <w:p>
      <w:pPr>
        <w:pStyle w:val="GvdeMetni"/>
        <w:tabs>
          <w:tab w:val="left" w:pos="440"/>
        </w:tabs>
        <w:spacing w:before="120" w:after="120" w:line="360" w:lineRule="auto"/>
        <w:jc w:val="both"/>
        <w:rPr>
          <w:b/>
          <w:bCs/>
        </w:rPr>
      </w:pPr>
      <w:r>
        <w:rPr>
          <w:b/>
          <w:bCs/>
        </w:rPr>
        <w:t>Değerlerimiz</w:t>
      </w:r>
    </w:p>
    <w:p>
      <w:pPr>
        <w:pStyle w:val="GvdeMetni"/>
        <w:tabs>
          <w:tab w:val="left" w:pos="440"/>
        </w:tabs>
        <w:spacing w:before="120" w:after="120" w:line="360" w:lineRule="auto"/>
        <w:jc w:val="both"/>
      </w:pPr>
      <w:r>
        <w:t>Yüksekokul olarak benimsediğimiz temel değerler:</w:t>
      </w:r>
    </w:p>
    <w:p>
      <w:pPr>
        <w:pStyle w:val="GvdeMetni"/>
        <w:tabs>
          <w:tab w:val="left" w:pos="440"/>
        </w:tabs>
        <w:spacing w:before="120" w:after="120" w:line="360" w:lineRule="auto"/>
        <w:jc w:val="both"/>
      </w:pPr>
      <w:r>
        <w:t>Atatürk ilke ve devrimlerine bağlılık, çağdaşlık, adalet, şeffaflık, akademik dürüstlük, etik değerlere bağlılık, toplumsal sorumluluk, insan haklarına saygı, katılımcı yönetim anlayışı, yenilikçilik ve profesyonelliktir.</w:t>
      </w:r>
    </w:p>
    <w:p>
      <w:pPr>
        <w:pStyle w:val="GvdeMetni"/>
        <w:tabs>
          <w:tab w:val="left" w:pos="440"/>
        </w:tabs>
        <w:spacing w:before="120" w:after="120" w:line="360" w:lineRule="auto"/>
        <w:jc w:val="both"/>
      </w:pPr>
      <w:r>
        <w:t>Bu değerler, eğitim-öğretim süreçlerinden yönetsel uygulamalara kadar tüm faaliyetlerimizin temel referans çerçevesini oluşturmaktadır.</w:t>
      </w:r>
    </w:p>
    <w:p>
      <w:pPr>
        <w:pStyle w:val="GvdeMetni"/>
        <w:tabs>
          <w:tab w:val="left" w:pos="440"/>
        </w:tabs>
        <w:spacing w:before="120" w:after="120" w:line="360" w:lineRule="auto"/>
        <w:jc w:val="both"/>
      </w:pPr>
    </w:p>
    <w:p>
      <w:pPr>
        <w:pStyle w:val="GvdeMetni"/>
        <w:tabs>
          <w:tab w:val="left" w:pos="440"/>
        </w:tabs>
        <w:spacing w:before="120" w:after="120" w:line="360" w:lineRule="auto"/>
        <w:jc w:val="both"/>
        <w:rPr>
          <w:b/>
          <w:bCs/>
        </w:rPr>
      </w:pPr>
      <w:r>
        <w:rPr>
          <w:b/>
          <w:bCs/>
        </w:rPr>
        <w:t>1.2. Eğitim ve Öğretim Hizmeti Sunan Birimleri</w:t>
      </w:r>
    </w:p>
    <w:p>
      <w:pPr>
        <w:pStyle w:val="GvdeMetni"/>
        <w:tabs>
          <w:tab w:val="left" w:pos="440"/>
        </w:tabs>
        <w:spacing w:before="120" w:after="120" w:line="360" w:lineRule="auto"/>
        <w:jc w:val="both"/>
      </w:pPr>
      <w:r>
        <w:t xml:space="preserve">Birimimizde eğitim-öğretim faaliyeti yürüten tüm bölüm ve programların eğitim dili </w:t>
      </w:r>
      <w:r>
        <w:rPr>
          <w:b/>
          <w:bCs/>
        </w:rPr>
        <w:t>Türkçedir</w:t>
      </w:r>
      <w:r>
        <w:t>.</w:t>
      </w:r>
    </w:p>
    <w:p>
      <w:pPr>
        <w:pStyle w:val="GvdeMetni"/>
        <w:tabs>
          <w:tab w:val="left" w:pos="440"/>
        </w:tabs>
        <w:spacing w:before="120" w:after="120" w:line="360" w:lineRule="auto"/>
        <w:jc w:val="both"/>
      </w:pPr>
      <w:r>
        <w:t xml:space="preserve">Birimimizde eğitim-öğretim sunan bölüm ve programlar </w:t>
      </w:r>
      <w:r>
        <w:rPr>
          <w:b/>
          <w:bCs/>
        </w:rPr>
        <w:t>Tablo 3’te</w:t>
      </w:r>
      <w:r>
        <w:t xml:space="preserve"> verilmiş olup, ilgili bölümlere ilişkin ayrıntılı bilgilere birimimizin resmî internet sayfasından erişilebilmektedir.</w:t>
      </w:r>
    </w:p>
    <w:p>
      <w:pPr>
        <w:pStyle w:val="GvdeMetni"/>
        <w:tabs>
          <w:tab w:val="left" w:pos="440"/>
        </w:tabs>
        <w:spacing w:before="120" w:after="120" w:line="360" w:lineRule="auto"/>
        <w:jc w:val="both"/>
      </w:pPr>
      <w:r>
        <w:t>Tarihsel gelişim sürecinde Yüksekokulumuz bünyesinde çeşitli bölüm ve programlarda açılma, kapatma ve yeniden yapılandırma işlemleri gerçekleştirildiğinden, güncel akademik yapılanmaya ilişkin bilgiler Tablo 3’te sunulmuştur.</w:t>
      </w:r>
    </w:p>
    <w:p>
      <w:pPr>
        <w:pStyle w:val="GvdeMetni"/>
        <w:tabs>
          <w:tab w:val="left" w:pos="440"/>
        </w:tabs>
        <w:spacing w:before="21" w:line="259" w:lineRule="auto"/>
        <w:ind w:right="195"/>
        <w:jc w:val="center"/>
        <w:rPr>
          <w:b/>
        </w:rPr>
      </w:pPr>
      <w:r>
        <w:rPr>
          <w:b/>
        </w:rPr>
        <w:t>Tablo 3. Yüksekokulumuzdaki Bölüm ve Programların Durumu</w:t>
      </w:r>
    </w:p>
    <w:p>
      <w:pPr>
        <w:pStyle w:val="GvdeMetni"/>
        <w:tabs>
          <w:tab w:val="left" w:pos="440"/>
        </w:tabs>
        <w:spacing w:before="21" w:line="259" w:lineRule="auto"/>
        <w:ind w:right="195"/>
        <w:jc w:val="center"/>
        <w:rPr>
          <w:b/>
        </w:rPr>
      </w:pPr>
    </w:p>
    <w:tbl>
      <w:tblPr>
        <w:tblStyle w:val="TabloKlavuzu"/>
        <w:tblW w:w="0" w:type="auto"/>
        <w:jc w:val="center"/>
        <w:tblLook w:val="04A0"/>
      </w:tblPr>
      <w:tblGrid>
        <w:gridCol w:w="2605"/>
        <w:gridCol w:w="2952"/>
        <w:gridCol w:w="1158"/>
      </w:tblGrid>
      <w:tr>
        <w:trPr>
          <w:jc w:val="center"/>
        </w:trPr>
        <w:tc>
          <w:tcPr>
            <w:tcW w:w="2605" w:type="dxa"/>
          </w:tcPr>
          <w:p>
            <w:pPr>
              <w:pStyle w:val="GvdeMetni"/>
              <w:tabs>
                <w:tab w:val="left" w:pos="440"/>
              </w:tabs>
              <w:spacing w:before="21" w:line="259" w:lineRule="auto"/>
              <w:ind w:right="195"/>
              <w:rPr>
                <w:b/>
                <w:sz w:val="24"/>
                <w:szCs w:val="24"/>
                <w:lang w:val="tr-TR"/>
              </w:rPr>
            </w:pPr>
            <w:r>
              <w:rPr>
                <w:b/>
                <w:sz w:val="24"/>
                <w:szCs w:val="24"/>
                <w:lang w:val="tr-TR"/>
              </w:rPr>
              <w:t>Bölüm Adı</w:t>
            </w:r>
          </w:p>
        </w:tc>
        <w:tc>
          <w:tcPr>
            <w:tcW w:w="2952" w:type="dxa"/>
          </w:tcPr>
          <w:p>
            <w:pPr>
              <w:pStyle w:val="GvdeMetni"/>
              <w:tabs>
                <w:tab w:val="left" w:pos="440"/>
              </w:tabs>
              <w:spacing w:before="21" w:line="259" w:lineRule="auto"/>
              <w:ind w:right="195"/>
              <w:rPr>
                <w:b/>
                <w:sz w:val="24"/>
                <w:szCs w:val="24"/>
                <w:lang w:val="tr-TR"/>
              </w:rPr>
            </w:pPr>
            <w:r>
              <w:rPr>
                <w:b/>
                <w:sz w:val="24"/>
                <w:szCs w:val="24"/>
                <w:lang w:val="tr-TR"/>
              </w:rPr>
              <w:t>Program Adı</w:t>
            </w:r>
          </w:p>
        </w:tc>
        <w:tc>
          <w:tcPr>
            <w:tcW w:w="1034" w:type="dxa"/>
            <w:vAlign w:val="center"/>
          </w:tcPr>
          <w:p>
            <w:pPr>
              <w:pStyle w:val="GvdeMetni"/>
              <w:tabs>
                <w:tab w:val="left" w:pos="440"/>
              </w:tabs>
              <w:spacing w:before="21" w:line="259" w:lineRule="auto"/>
              <w:ind w:right="195"/>
              <w:jc w:val="center"/>
              <w:rPr>
                <w:b/>
                <w:sz w:val="24"/>
                <w:szCs w:val="24"/>
                <w:lang w:val="tr-TR"/>
              </w:rPr>
            </w:pPr>
            <w:r>
              <w:rPr>
                <w:b/>
                <w:sz w:val="24"/>
                <w:szCs w:val="24"/>
                <w:lang w:val="tr-TR"/>
              </w:rPr>
              <w:t>Durum</w:t>
            </w:r>
          </w:p>
        </w:tc>
      </w:tr>
      <w:tr>
        <w:trPr>
          <w:jc w:val="center"/>
        </w:trPr>
        <w:tc>
          <w:tcPr>
            <w:tcW w:w="2605" w:type="dxa"/>
            <w:vMerge w:val="restart"/>
            <w:vAlign w:val="center"/>
          </w:tcPr>
          <w:p>
            <w:pPr>
              <w:pStyle w:val="GvdeMetni"/>
              <w:tabs>
                <w:tab w:val="left" w:pos="440"/>
              </w:tabs>
              <w:spacing w:before="21" w:line="259" w:lineRule="auto"/>
              <w:ind w:right="195"/>
              <w:rPr>
                <w:sz w:val="24"/>
                <w:szCs w:val="24"/>
                <w:lang w:val="tr-TR"/>
              </w:rPr>
            </w:pPr>
            <w:r>
              <w:rPr>
                <w:sz w:val="24"/>
                <w:szCs w:val="24"/>
                <w:lang w:val="tr-TR"/>
              </w:rPr>
              <w:t>Finans, Bankacılık ve Sigortacılık</w:t>
            </w:r>
          </w:p>
        </w:tc>
        <w:tc>
          <w:tcPr>
            <w:tcW w:w="2952" w:type="dxa"/>
            <w:vAlign w:val="center"/>
          </w:tcPr>
          <w:p>
            <w:pPr>
              <w:pStyle w:val="GvdeMetni"/>
              <w:tabs>
                <w:tab w:val="left" w:pos="440"/>
              </w:tabs>
              <w:spacing w:before="21" w:line="259" w:lineRule="auto"/>
              <w:ind w:right="195"/>
              <w:rPr>
                <w:sz w:val="24"/>
                <w:szCs w:val="24"/>
                <w:lang w:val="tr-TR"/>
              </w:rPr>
            </w:pPr>
            <w:hyperlink r:id="rId16" w:history="1">
              <w:r>
                <w:rPr>
                  <w:rStyle w:val="Kpr"/>
                  <w:rFonts w:eastAsiaTheme="majorEastAsia"/>
                  <w:color w:val="auto"/>
                  <w:sz w:val="24"/>
                  <w:szCs w:val="24"/>
                  <w:lang w:val="tr-TR"/>
                </w:rPr>
                <w:t>Bankacılık ve Sigortacılık</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Merge/>
            <w:vAlign w:val="center"/>
          </w:tcPr>
          <w:p>
            <w:pPr>
              <w:pStyle w:val="GvdeMetni"/>
              <w:tabs>
                <w:tab w:val="left" w:pos="440"/>
              </w:tabs>
              <w:spacing w:before="21" w:line="259" w:lineRule="auto"/>
              <w:ind w:right="195"/>
              <w:rPr>
                <w:sz w:val="24"/>
                <w:szCs w:val="24"/>
                <w:lang w:val="tr-TR"/>
              </w:rPr>
            </w:pPr>
          </w:p>
        </w:tc>
        <w:tc>
          <w:tcPr>
            <w:tcW w:w="2952" w:type="dxa"/>
            <w:vAlign w:val="center"/>
          </w:tcPr>
          <w:p>
            <w:pPr>
              <w:pStyle w:val="GvdeMetni"/>
              <w:tabs>
                <w:tab w:val="left" w:pos="440"/>
              </w:tabs>
              <w:spacing w:before="21" w:line="259" w:lineRule="auto"/>
              <w:ind w:right="195"/>
              <w:rPr>
                <w:sz w:val="24"/>
                <w:szCs w:val="24"/>
                <w:lang w:val="tr-TR"/>
              </w:rPr>
            </w:pPr>
            <w:hyperlink r:id="rId17" w:history="1">
              <w:r>
                <w:rPr>
                  <w:rStyle w:val="Kpr"/>
                  <w:rFonts w:eastAsiaTheme="majorEastAsia"/>
                  <w:color w:val="auto"/>
                  <w:sz w:val="24"/>
                  <w:szCs w:val="24"/>
                  <w:lang w:val="tr-TR"/>
                </w:rPr>
                <w:t>Maliye</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Merge w:val="restart"/>
            <w:vAlign w:val="center"/>
          </w:tcPr>
          <w:p>
            <w:pPr>
              <w:pStyle w:val="GvdeMetni"/>
              <w:tabs>
                <w:tab w:val="left" w:pos="440"/>
              </w:tabs>
              <w:spacing w:before="21" w:line="259" w:lineRule="auto"/>
              <w:ind w:right="195"/>
              <w:rPr>
                <w:sz w:val="24"/>
                <w:szCs w:val="24"/>
                <w:lang w:val="tr-TR"/>
              </w:rPr>
            </w:pPr>
            <w:r>
              <w:rPr>
                <w:sz w:val="24"/>
                <w:szCs w:val="24"/>
                <w:lang w:val="tr-TR"/>
              </w:rPr>
              <w:t>Pazarlama ve Reklamcılık</w:t>
            </w:r>
          </w:p>
        </w:tc>
        <w:tc>
          <w:tcPr>
            <w:tcW w:w="2952" w:type="dxa"/>
            <w:vAlign w:val="center"/>
          </w:tcPr>
          <w:p>
            <w:pPr>
              <w:pStyle w:val="GvdeMetni"/>
              <w:tabs>
                <w:tab w:val="left" w:pos="440"/>
              </w:tabs>
              <w:spacing w:before="21" w:line="259" w:lineRule="auto"/>
              <w:ind w:right="195"/>
              <w:rPr>
                <w:sz w:val="24"/>
                <w:szCs w:val="24"/>
                <w:lang w:val="tr-TR"/>
              </w:rPr>
            </w:pPr>
            <w:hyperlink r:id="rId18" w:history="1">
              <w:r>
                <w:rPr>
                  <w:rStyle w:val="Kpr"/>
                  <w:rFonts w:eastAsiaTheme="majorEastAsia"/>
                  <w:color w:val="auto"/>
                  <w:sz w:val="24"/>
                  <w:szCs w:val="24"/>
                  <w:lang w:val="tr-TR"/>
                </w:rPr>
                <w:t>Halkla İlişkiler ve Tanıtım</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Merge/>
            <w:vAlign w:val="center"/>
          </w:tcPr>
          <w:p>
            <w:pPr>
              <w:pStyle w:val="GvdeMetni"/>
              <w:tabs>
                <w:tab w:val="left" w:pos="440"/>
              </w:tabs>
              <w:spacing w:before="21" w:line="259" w:lineRule="auto"/>
              <w:ind w:right="195"/>
              <w:rPr>
                <w:sz w:val="24"/>
                <w:szCs w:val="24"/>
                <w:lang w:val="tr-TR"/>
              </w:rPr>
            </w:pPr>
          </w:p>
        </w:tc>
        <w:tc>
          <w:tcPr>
            <w:tcW w:w="2952" w:type="dxa"/>
            <w:vAlign w:val="center"/>
          </w:tcPr>
          <w:p>
            <w:pPr>
              <w:pStyle w:val="GvdeMetni"/>
              <w:tabs>
                <w:tab w:val="left" w:pos="440"/>
              </w:tabs>
              <w:spacing w:before="21" w:line="259" w:lineRule="auto"/>
              <w:ind w:right="195"/>
              <w:rPr>
                <w:sz w:val="24"/>
                <w:szCs w:val="24"/>
                <w:lang w:val="tr-TR"/>
              </w:rPr>
            </w:pPr>
            <w:hyperlink r:id="rId19" w:history="1">
              <w:r>
                <w:rPr>
                  <w:rStyle w:val="Kpr"/>
                  <w:rFonts w:eastAsiaTheme="majorEastAsia"/>
                  <w:color w:val="auto"/>
                  <w:sz w:val="24"/>
                  <w:szCs w:val="24"/>
                  <w:lang w:val="tr-TR"/>
                </w:rPr>
                <w:t>Medya ve İletişim</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Yönetim ve Organizasyon</w:t>
            </w:r>
          </w:p>
        </w:tc>
        <w:tc>
          <w:tcPr>
            <w:tcW w:w="2952" w:type="dxa"/>
            <w:vAlign w:val="center"/>
          </w:tcPr>
          <w:p>
            <w:pPr>
              <w:pStyle w:val="GvdeMetni"/>
              <w:tabs>
                <w:tab w:val="left" w:pos="440"/>
              </w:tabs>
              <w:spacing w:before="21" w:line="259" w:lineRule="auto"/>
              <w:ind w:right="195"/>
              <w:rPr>
                <w:sz w:val="24"/>
                <w:szCs w:val="24"/>
                <w:lang w:val="tr-TR"/>
              </w:rPr>
            </w:pPr>
            <w:hyperlink r:id="rId20" w:history="1">
              <w:r>
                <w:rPr>
                  <w:rStyle w:val="Kpr"/>
                  <w:rFonts w:eastAsiaTheme="majorEastAsia"/>
                  <w:color w:val="auto"/>
                  <w:sz w:val="24"/>
                  <w:szCs w:val="24"/>
                  <w:lang w:val="tr-TR"/>
                </w:rPr>
                <w:t>Sağlık Kurumları İşletmeciliği</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Veterinerlik</w:t>
            </w:r>
          </w:p>
        </w:tc>
        <w:tc>
          <w:tcPr>
            <w:tcW w:w="2952" w:type="dxa"/>
            <w:vAlign w:val="center"/>
          </w:tcPr>
          <w:p>
            <w:pPr>
              <w:pStyle w:val="GvdeMetni"/>
              <w:tabs>
                <w:tab w:val="left" w:pos="440"/>
              </w:tabs>
              <w:spacing w:before="21" w:line="259" w:lineRule="auto"/>
              <w:ind w:right="195"/>
              <w:rPr>
                <w:sz w:val="24"/>
                <w:szCs w:val="24"/>
                <w:lang w:val="tr-TR"/>
              </w:rPr>
            </w:pPr>
            <w:hyperlink r:id="rId21" w:history="1">
              <w:r>
                <w:rPr>
                  <w:rStyle w:val="Kpr"/>
                  <w:rFonts w:eastAsiaTheme="majorEastAsia"/>
                  <w:color w:val="auto"/>
                  <w:sz w:val="24"/>
                  <w:szCs w:val="24"/>
                  <w:lang w:val="tr-TR"/>
                </w:rPr>
                <w:t>Laborant ve Veteriner Sağlık</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Tıbbi Hizmetler ve Teknikler</w:t>
            </w:r>
          </w:p>
        </w:tc>
        <w:tc>
          <w:tcPr>
            <w:tcW w:w="2952" w:type="dxa"/>
            <w:vAlign w:val="center"/>
          </w:tcPr>
          <w:p>
            <w:pPr>
              <w:pStyle w:val="GvdeMetni"/>
              <w:tabs>
                <w:tab w:val="left" w:pos="440"/>
              </w:tabs>
              <w:spacing w:before="21" w:line="259" w:lineRule="auto"/>
              <w:ind w:right="195"/>
              <w:rPr>
                <w:sz w:val="24"/>
                <w:szCs w:val="24"/>
                <w:lang w:val="tr-TR"/>
              </w:rPr>
            </w:pPr>
            <w:hyperlink r:id="rId22" w:history="1">
              <w:r>
                <w:rPr>
                  <w:rStyle w:val="Kpr"/>
                  <w:rFonts w:eastAsiaTheme="majorEastAsia"/>
                  <w:color w:val="auto"/>
                  <w:sz w:val="24"/>
                  <w:szCs w:val="24"/>
                  <w:lang w:val="tr-TR"/>
                </w:rPr>
                <w:t>Tıbbi Dokümantasyon ve Sekreterlik</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Mülkiyet Koruma ve Güvenlik</w:t>
            </w:r>
          </w:p>
        </w:tc>
        <w:tc>
          <w:tcPr>
            <w:tcW w:w="2952" w:type="dxa"/>
            <w:vAlign w:val="center"/>
          </w:tcPr>
          <w:p>
            <w:pPr>
              <w:pStyle w:val="GvdeMetni"/>
              <w:tabs>
                <w:tab w:val="left" w:pos="440"/>
              </w:tabs>
              <w:spacing w:before="21" w:line="259" w:lineRule="auto"/>
              <w:ind w:right="195"/>
              <w:rPr>
                <w:sz w:val="24"/>
                <w:szCs w:val="24"/>
                <w:lang w:val="tr-TR"/>
              </w:rPr>
            </w:pPr>
            <w:hyperlink r:id="rId23" w:history="1">
              <w:r>
                <w:rPr>
                  <w:rStyle w:val="Kpr"/>
                  <w:rFonts w:eastAsiaTheme="majorEastAsia"/>
                  <w:color w:val="auto"/>
                  <w:sz w:val="24"/>
                  <w:szCs w:val="24"/>
                  <w:lang w:val="tr-TR"/>
                </w:rPr>
                <w:t>Sosyal Güvenlik</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Aktif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Ulaştırma Hizmetleri</w:t>
            </w:r>
          </w:p>
        </w:tc>
        <w:tc>
          <w:tcPr>
            <w:tcW w:w="2952" w:type="dxa"/>
            <w:vAlign w:val="center"/>
          </w:tcPr>
          <w:p>
            <w:pPr>
              <w:pStyle w:val="GvdeMetni"/>
              <w:tabs>
                <w:tab w:val="left" w:pos="440"/>
              </w:tabs>
              <w:spacing w:before="21" w:line="259" w:lineRule="auto"/>
              <w:ind w:right="195"/>
              <w:rPr>
                <w:sz w:val="24"/>
                <w:szCs w:val="24"/>
                <w:lang w:val="tr-TR"/>
              </w:rPr>
            </w:pPr>
            <w:hyperlink r:id="rId24" w:history="1">
              <w:r>
                <w:rPr>
                  <w:rStyle w:val="Kpr"/>
                  <w:rFonts w:eastAsiaTheme="majorEastAsia"/>
                  <w:color w:val="auto"/>
                  <w:sz w:val="24"/>
                  <w:szCs w:val="24"/>
                  <w:lang w:val="tr-TR"/>
                </w:rPr>
                <w:t>Posta Hizmetleri</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Pasif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Sosyal Hizmet ve Danışmanlık</w:t>
            </w:r>
          </w:p>
        </w:tc>
        <w:tc>
          <w:tcPr>
            <w:tcW w:w="2952" w:type="dxa"/>
            <w:vAlign w:val="center"/>
          </w:tcPr>
          <w:p>
            <w:pPr>
              <w:pStyle w:val="GvdeMetni"/>
              <w:tabs>
                <w:tab w:val="left" w:pos="440"/>
              </w:tabs>
              <w:spacing w:before="21" w:line="259" w:lineRule="auto"/>
              <w:ind w:right="195"/>
              <w:rPr>
                <w:sz w:val="24"/>
                <w:szCs w:val="24"/>
                <w:lang w:val="tr-TR"/>
              </w:rPr>
            </w:pPr>
            <w:hyperlink r:id="rId25" w:history="1">
              <w:r>
                <w:rPr>
                  <w:rStyle w:val="Kpr"/>
                  <w:rFonts w:eastAsiaTheme="majorEastAsia"/>
                  <w:color w:val="auto"/>
                  <w:sz w:val="24"/>
                  <w:szCs w:val="24"/>
                  <w:lang w:val="tr-TR"/>
                </w:rPr>
                <w:t>Sosyal Hizmetler</w:t>
              </w:r>
            </w:hyperlink>
            <w:r>
              <w:rPr>
                <w:sz w:val="24"/>
                <w:szCs w:val="24"/>
                <w:lang w:val="tr-TR"/>
              </w:rPr>
              <w:t xml:space="preserve"> (Kurulma Aşamasında)</w:t>
            </w:r>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Pasif</w:t>
            </w:r>
          </w:p>
        </w:tc>
      </w:tr>
      <w:tr>
        <w:trPr>
          <w:jc w:val="center"/>
        </w:trPr>
        <w:tc>
          <w:tcPr>
            <w:tcW w:w="2605" w:type="dxa"/>
            <w:vAlign w:val="center"/>
          </w:tcPr>
          <w:p>
            <w:pPr>
              <w:pStyle w:val="GvdeMetni"/>
              <w:tabs>
                <w:tab w:val="left" w:pos="440"/>
              </w:tabs>
              <w:spacing w:before="21" w:line="259" w:lineRule="auto"/>
              <w:ind w:right="195"/>
              <w:rPr>
                <w:sz w:val="24"/>
                <w:szCs w:val="24"/>
                <w:lang w:val="tr-TR"/>
              </w:rPr>
            </w:pPr>
            <w:r>
              <w:rPr>
                <w:sz w:val="24"/>
                <w:szCs w:val="24"/>
                <w:lang w:val="tr-TR"/>
              </w:rPr>
              <w:t>Tasarım</w:t>
            </w:r>
          </w:p>
        </w:tc>
        <w:tc>
          <w:tcPr>
            <w:tcW w:w="2952" w:type="dxa"/>
            <w:vAlign w:val="center"/>
          </w:tcPr>
          <w:p>
            <w:pPr>
              <w:pStyle w:val="GvdeMetni"/>
              <w:tabs>
                <w:tab w:val="left" w:pos="440"/>
              </w:tabs>
              <w:spacing w:before="21" w:line="259" w:lineRule="auto"/>
              <w:ind w:right="195"/>
              <w:rPr>
                <w:sz w:val="24"/>
                <w:szCs w:val="24"/>
                <w:lang w:val="tr-TR"/>
              </w:rPr>
            </w:pPr>
            <w:hyperlink r:id="rId26" w:history="1">
              <w:r>
                <w:rPr>
                  <w:rStyle w:val="Kpr"/>
                  <w:rFonts w:eastAsiaTheme="majorEastAsia"/>
                  <w:color w:val="auto"/>
                  <w:sz w:val="24"/>
                  <w:szCs w:val="24"/>
                  <w:lang w:val="tr-TR"/>
                </w:rPr>
                <w:t>Grafik Tasarım</w:t>
              </w:r>
            </w:hyperlink>
          </w:p>
        </w:tc>
        <w:tc>
          <w:tcPr>
            <w:tcW w:w="1034" w:type="dxa"/>
            <w:vAlign w:val="center"/>
          </w:tcPr>
          <w:p>
            <w:pPr>
              <w:pStyle w:val="GvdeMetni"/>
              <w:tabs>
                <w:tab w:val="left" w:pos="440"/>
              </w:tabs>
              <w:spacing w:before="21" w:line="259" w:lineRule="auto"/>
              <w:ind w:right="195"/>
              <w:jc w:val="center"/>
              <w:rPr>
                <w:sz w:val="24"/>
                <w:szCs w:val="24"/>
                <w:lang w:val="tr-TR"/>
              </w:rPr>
            </w:pPr>
            <w:r>
              <w:rPr>
                <w:sz w:val="24"/>
                <w:szCs w:val="24"/>
                <w:lang w:val="tr-TR"/>
              </w:rPr>
              <w:t>Pasif</w:t>
            </w:r>
          </w:p>
        </w:tc>
      </w:tr>
    </w:tbl>
    <w:p>
      <w:pPr>
        <w:pStyle w:val="GvdeMetni"/>
        <w:tabs>
          <w:tab w:val="left" w:pos="440"/>
        </w:tabs>
        <w:spacing w:before="22"/>
      </w:pPr>
    </w:p>
    <w:p>
      <w:pPr>
        <w:spacing w:before="120" w:after="120" w:line="360" w:lineRule="auto"/>
        <w:jc w:val="both"/>
        <w:rPr>
          <w:rFonts w:ascii="Times New Roman" w:hAnsi="Times New Roman" w:cs="Times New Roman"/>
          <w:b/>
          <w:bCs/>
        </w:rPr>
      </w:pPr>
      <w:r>
        <w:rPr>
          <w:rFonts w:ascii="Times New Roman" w:hAnsi="Times New Roman" w:cs="Times New Roman"/>
          <w:b/>
          <w:bCs/>
        </w:rPr>
        <w:t>1.1. Araştırma Faaliyetlerinin Yürütüldüğü Birimler</w:t>
      </w:r>
    </w:p>
    <w:p>
      <w:pPr>
        <w:spacing w:before="120" w:after="120" w:line="360" w:lineRule="auto"/>
        <w:jc w:val="both"/>
        <w:rPr>
          <w:rFonts w:ascii="Times New Roman" w:hAnsi="Times New Roman" w:cs="Times New Roman"/>
        </w:rPr>
      </w:pPr>
      <w:r>
        <w:rPr>
          <w:rFonts w:ascii="Times New Roman" w:hAnsi="Times New Roman" w:cs="Times New Roman"/>
        </w:rPr>
        <w:t>Alucra Turan Bulutçu Meslek Yüksekokulu bünyesinde yer alan 2 Bilgisayar Laboratuvarı, Veteriner Uygulama Laboratuvarı, Veteriner Uygulama Kliniği, Anatomi Laboratuvarı, Medya Atölyesi ve Radyo Odası; bölüm ve programlarımızın uygulamalı eğitim ve araştırma süreçlerini desteklemek amacıyla yapılandırılmıştır.</w:t>
      </w:r>
    </w:p>
    <w:p>
      <w:pPr>
        <w:spacing w:before="120" w:after="120" w:line="360" w:lineRule="auto"/>
        <w:jc w:val="both"/>
        <w:rPr>
          <w:rFonts w:ascii="Times New Roman" w:hAnsi="Times New Roman" w:cs="Times New Roman"/>
        </w:rPr>
      </w:pPr>
      <w:r>
        <w:rPr>
          <w:rFonts w:ascii="Times New Roman" w:hAnsi="Times New Roman" w:cs="Times New Roman"/>
        </w:rPr>
        <w:lastRenderedPageBreak/>
        <w:t>Bu uygulama alanları, farklı disiplinlerde mesleki yeterlilik kazanımını destekleyen nitelikli öğrenme ortamları sunmaktadır. Veteriner Uygulama Kliniği ve Anatomi Laboratuvarı başta Laborant ve Veteriner Sağlık Programı olmak üzere ilgili programların uygulamalı derslerinde aktif biçimde kullanılmakta; klinik gözlem, temel mesleki uygulamalar ve anatomi bilgisine yönelik kazanımları güçlendirmektedir.</w:t>
      </w:r>
    </w:p>
    <w:p>
      <w:pPr>
        <w:spacing w:before="120" w:after="120" w:line="360" w:lineRule="auto"/>
        <w:jc w:val="both"/>
        <w:rPr>
          <w:rFonts w:ascii="Times New Roman" w:hAnsi="Times New Roman" w:cs="Times New Roman"/>
        </w:rPr>
      </w:pPr>
      <w:r>
        <w:rPr>
          <w:rFonts w:ascii="Times New Roman" w:hAnsi="Times New Roman" w:cs="Times New Roman"/>
        </w:rPr>
        <w:t>Uygulama temelli yürütülen çalışmalar, öğrencilerin saha pratiği, klinik beceri gelişimi ve mesleki özgüven kazanımı açısından olumlu çıktılar üretmiştir. Öğrencilerimizin uygulama faaliyetleri ulusal basında da yer bulmuş; bu durum programın görünürlüğünü artırmış ve birimimizin kurumsal algısına katkı sağlamıştır.</w:t>
      </w:r>
    </w:p>
    <w:p>
      <w:pPr>
        <w:spacing w:before="120" w:after="120" w:line="360" w:lineRule="auto"/>
        <w:jc w:val="both"/>
        <w:rPr>
          <w:rFonts w:ascii="Times New Roman" w:hAnsi="Times New Roman" w:cs="Times New Roman"/>
        </w:rPr>
      </w:pPr>
      <w:r>
        <w:rPr>
          <w:rFonts w:ascii="Times New Roman" w:hAnsi="Times New Roman" w:cs="Times New Roman"/>
        </w:rPr>
        <w:t>Medya Atölyesi ve Radyo Odası, Medya ve İletişim Programı ile Halkla İlişkiler ve Tanıtım Programı öğrencilerinin içerik üretimi, kurumsal iletişim uygulamaları, kamera–ses kayıt teknikleri ve yayıncılık pratiği kazanmalarına imkân sağlamaktadır. Uygulamalı çekimler, röportaj çalışmaları ve atölye temelli dersler sayesinde öğrenciler mezuniyet öncesinde sektörel deneyimle tanışmaktadır.</w:t>
      </w:r>
    </w:p>
    <w:p>
      <w:pPr>
        <w:spacing w:before="120" w:after="120" w:line="360" w:lineRule="auto"/>
        <w:jc w:val="both"/>
        <w:rPr>
          <w:rFonts w:ascii="Times New Roman" w:hAnsi="Times New Roman" w:cs="Times New Roman"/>
        </w:rPr>
      </w:pPr>
      <w:r>
        <w:rPr>
          <w:rFonts w:ascii="Times New Roman" w:hAnsi="Times New Roman" w:cs="Times New Roman"/>
        </w:rPr>
        <w:t>Bilgisayar Laboratuvarları ise Medya ve İletişim, Halkla İlişkiler ve Tanıtım ile Tıbbi Dokümantasyon ve Sekreterlik Programı öğrencilerinin ofis yazılımları, dijital tasarım uygulamaları, veri yönetimi ve mesleki yazılımları etkin biçimde kullanmalarını desteklemektedir. Özellikle Tıbbi Dokümantasyon ve Sekreterlik Programı öğrencileri açısından hasta kayıt sistemleri, arşivleme teknikleri ve sağlık bilişimi uygulamaları bağlamında laboratuvar destekli eğitim önemli kazanımlar sağlamaktadır.</w:t>
      </w:r>
    </w:p>
    <w:p>
      <w:pPr>
        <w:spacing w:before="120" w:after="120" w:line="360" w:lineRule="auto"/>
        <w:jc w:val="both"/>
        <w:rPr>
          <w:rFonts w:ascii="Times New Roman" w:hAnsi="Times New Roman" w:cs="Times New Roman"/>
        </w:rPr>
      </w:pPr>
      <w:r>
        <w:rPr>
          <w:rFonts w:ascii="Times New Roman" w:hAnsi="Times New Roman" w:cs="Times New Roman"/>
        </w:rPr>
        <w:t>Bu bütüncül uygulama altyapısı, teorik bilgi ile mesleki pratiğin entegrasyonunu destekleyen, sektörle uyumlu ve sürdürülebilir bir eğitim modelinin somut yansımasıdır.</w:t>
      </w:r>
    </w:p>
    <w:p>
      <w:pPr>
        <w:spacing w:before="120" w:after="120" w:line="360" w:lineRule="auto"/>
        <w:jc w:val="both"/>
        <w:rPr>
          <w:rFonts w:ascii="Times New Roman" w:hAnsi="Times New Roman" w:cs="Times New Roman"/>
          <w:b/>
          <w:bCs/>
        </w:rPr>
      </w:pPr>
      <w:r>
        <w:rPr>
          <w:rFonts w:ascii="Times New Roman" w:hAnsi="Times New Roman" w:cs="Times New Roman"/>
          <w:b/>
          <w:bCs/>
        </w:rPr>
        <w:t>1.2. Birimin Organizasyon Yapısı</w:t>
      </w:r>
    </w:p>
    <w:p>
      <w:pPr>
        <w:spacing w:before="120" w:after="120" w:line="360" w:lineRule="auto"/>
        <w:jc w:val="both"/>
        <w:rPr>
          <w:rFonts w:ascii="Times New Roman" w:hAnsi="Times New Roman" w:cs="Times New Roman"/>
        </w:rPr>
      </w:pPr>
      <w:r>
        <w:rPr>
          <w:rFonts w:ascii="Times New Roman" w:hAnsi="Times New Roman" w:cs="Times New Roman"/>
        </w:rPr>
        <w:t>Yüksekokulumuzun yönetim modeli, organizasyon yapısı ile akademik kurul ve komisyonlara ilişkin organizasyon şemaları birimimizin resmî internet sayfasında kamuoyu ile paylaşılmaktadır.</w:t>
      </w:r>
    </w:p>
    <w:p>
      <w:pPr>
        <w:spacing w:before="120" w:after="120" w:line="360" w:lineRule="auto"/>
        <w:jc w:val="both"/>
        <w:rPr>
          <w:rFonts w:ascii="Times New Roman" w:hAnsi="Times New Roman" w:cs="Times New Roman"/>
        </w:rPr>
      </w:pPr>
      <w:r>
        <w:rPr>
          <w:rFonts w:ascii="Times New Roman" w:hAnsi="Times New Roman" w:cs="Times New Roman"/>
        </w:rPr>
        <w:t>Organizasyon şemasında idari yapı, akademik yönetim kademeleri ve kurul/komisyon yapılanmaları açık biçimde tanımlanmış; görev, yetki ve sorumluluk dağılımları kurumsal yönetişim ilkeleri doğrultusunda belirlenmiştir.</w:t>
      </w:r>
    </w:p>
    <w:p>
      <w:pPr>
        <w:spacing w:before="120" w:after="120" w:line="360" w:lineRule="auto"/>
        <w:jc w:val="both"/>
        <w:rPr>
          <w:rFonts w:ascii="Times New Roman" w:hAnsi="Times New Roman" w:cs="Times New Roman"/>
          <w:b/>
          <w:bCs/>
        </w:rPr>
      </w:pPr>
      <w:r>
        <w:rPr>
          <w:rFonts w:ascii="Times New Roman" w:hAnsi="Times New Roman" w:cs="Times New Roman"/>
          <w:b/>
          <w:bCs/>
        </w:rPr>
        <w:t>1.3. İyileştirmeye Yönelik Çalışmalar</w:t>
      </w:r>
    </w:p>
    <w:p>
      <w:pPr>
        <w:spacing w:before="120" w:after="120" w:line="360" w:lineRule="auto"/>
        <w:jc w:val="both"/>
        <w:rPr>
          <w:rFonts w:ascii="Times New Roman" w:hAnsi="Times New Roman" w:cs="Times New Roman"/>
        </w:rPr>
      </w:pPr>
      <w:r>
        <w:rPr>
          <w:rFonts w:ascii="Times New Roman" w:hAnsi="Times New Roman" w:cs="Times New Roman"/>
        </w:rPr>
        <w:lastRenderedPageBreak/>
        <w:t>Birimimizin 2025 yılı Birim Öz Değerlendirme Raporu (BÖDR) çalışmaları, Üniversitemiz Akreditasyon, Akademik Değerlendirme ve Kalite Koordinatörlüğü koordinasyonunda; Liderlik, Yönetim ve Kalite, Eğitim-Öğretim, Araştırma-Geliştirme ve Uluslararasılaşma politikaları ekseninde bütüncül bir değerlendirme anlayışı çerçevesinde yürütülmüştür.</w:t>
      </w:r>
    </w:p>
    <w:p>
      <w:pPr>
        <w:spacing w:before="120" w:after="120" w:line="360" w:lineRule="auto"/>
        <w:jc w:val="both"/>
        <w:rPr>
          <w:rFonts w:ascii="Times New Roman" w:hAnsi="Times New Roman" w:cs="Times New Roman"/>
        </w:rPr>
      </w:pPr>
      <w:r>
        <w:rPr>
          <w:rFonts w:ascii="Times New Roman" w:hAnsi="Times New Roman" w:cs="Times New Roman"/>
        </w:rPr>
        <w:t>2024 yılında başlatılan iç paydaş temelli değerlendirme süreci kapsamında bölüm başkanlarıyla yapılan istişareler doğrultusunda öğretim planlarının sistematik biçimde gözden geçirilmesine başlanmıştır. 2025 yılı itibarıyla ise öğretim planları, dış paydaş görüş ve önerileri dikkate alınarak güncellenmiş; programların sektörel beklentilerle uyumu güçlendirilmiştir.</w:t>
      </w:r>
    </w:p>
    <w:p>
      <w:pPr>
        <w:spacing w:before="120" w:after="120" w:line="360" w:lineRule="auto"/>
        <w:jc w:val="both"/>
        <w:rPr>
          <w:rFonts w:ascii="Times New Roman" w:hAnsi="Times New Roman" w:cs="Times New Roman"/>
        </w:rPr>
      </w:pPr>
      <w:r>
        <w:rPr>
          <w:rFonts w:ascii="Times New Roman" w:hAnsi="Times New Roman" w:cs="Times New Roman"/>
        </w:rPr>
        <w:t>Akademik ve idari personelin yanı sıra dış paydaşlarla etkileşimi artırmaya yönelik toplantılar planlanmış ve gerçekleştirilmiştir (11.02.2025 tarihli ve 2025/01 sayılı Yüksekokul Kurulu, Gündem 2, Karar 2). Bu kapsamda değerlendirme süreci yalnızca akademik performans göstergeleri ile sınırlı tutulmamış; bölgesel ihtiyaçlar ve yerel kalkınma dinamikleri de sürece dâhil edilmiştir.</w:t>
      </w:r>
    </w:p>
    <w:p>
      <w:pPr>
        <w:spacing w:before="120" w:after="120" w:line="360" w:lineRule="auto"/>
        <w:jc w:val="both"/>
        <w:rPr>
          <w:rFonts w:ascii="Times New Roman" w:hAnsi="Times New Roman" w:cs="Times New Roman"/>
        </w:rPr>
      </w:pPr>
      <w:r>
        <w:rPr>
          <w:rFonts w:ascii="Times New Roman" w:hAnsi="Times New Roman" w:cs="Times New Roman"/>
        </w:rPr>
        <w:t>İlçe–üniversite iş birliği perspektifi doğrultusunda kamu kurumları, sivil toplum kuruluşları ve yerel paydaşlarla yapılan görüşmeler aracılığıyla güçlü yönler ile gelişmeye açık alanlar belirlenmiş; potansiyel iş birliği ve proje alanları tespit edilmiştir.</w:t>
      </w:r>
    </w:p>
    <w:p>
      <w:pPr>
        <w:spacing w:before="120" w:after="120" w:line="360" w:lineRule="auto"/>
        <w:jc w:val="both"/>
        <w:rPr>
          <w:rFonts w:ascii="Times New Roman" w:hAnsi="Times New Roman" w:cs="Times New Roman"/>
        </w:rPr>
      </w:pPr>
      <w:r>
        <w:rPr>
          <w:rFonts w:ascii="Times New Roman" w:hAnsi="Times New Roman" w:cs="Times New Roman"/>
        </w:rPr>
        <w:t>Birim Kalite Komisyonu, ilgili yönerge hükümleri doğrultusunda 2025 yılında çalışmalarını düzenli biçimde sürdürmüş ve faaliyetlerine BÖDR hazırlıkları ile başlamıştır. Komisyon, 2025 yılı içerisinde program akreditasyon sürecini başlatmış olup, yıl boyunca gerçekleştirilen toplantılarla hazırlık çalışmalarını sistematik şekilde yürütmektedir.</w:t>
      </w:r>
    </w:p>
    <w:p>
      <w:pPr>
        <w:spacing w:before="120" w:after="120" w:line="360" w:lineRule="auto"/>
        <w:jc w:val="both"/>
        <w:rPr>
          <w:rFonts w:ascii="Times New Roman" w:hAnsi="Times New Roman" w:cs="Times New Roman"/>
        </w:rPr>
      </w:pPr>
      <w:r>
        <w:rPr>
          <w:rFonts w:ascii="Times New Roman" w:hAnsi="Times New Roman" w:cs="Times New Roman"/>
        </w:rPr>
        <w:t>Kurul kararları ve kalite komisyonu faaliyetlerine ilişkin bilgilere Yüksekokulumuzun resmî internet sayfası üzerinden erişilebilmektedir.</w:t>
      </w:r>
    </w:p>
    <w:p>
      <w:pPr>
        <w:rPr>
          <w:rFonts w:ascii="Times New Roman" w:hAnsi="Times New Roman" w:cs="Times New Roman"/>
          <w:b/>
          <w:bCs/>
        </w:rPr>
      </w:pPr>
      <w:r>
        <w:rPr>
          <w:rFonts w:ascii="Times New Roman" w:hAnsi="Times New Roman" w:cs="Times New Roman"/>
          <w:b/>
          <w:bCs/>
        </w:rPr>
        <w:t>A. LİDERLİK, YÖNETİŞİM VE KALİTE</w:t>
      </w:r>
    </w:p>
    <w:p>
      <w:pPr>
        <w:tabs>
          <w:tab w:val="left" w:pos="2655"/>
        </w:tabs>
        <w:rPr>
          <w:rFonts w:ascii="Times New Roman" w:hAnsi="Times New Roman" w:cs="Times New Roman"/>
          <w:b/>
          <w:bCs/>
        </w:rPr>
      </w:pPr>
      <w:r>
        <w:rPr>
          <w:rFonts w:ascii="Times New Roman" w:hAnsi="Times New Roman" w:cs="Times New Roman"/>
          <w:b/>
          <w:bCs/>
        </w:rPr>
        <w:t>A.1. Liderlik ve Kalite</w:t>
      </w:r>
    </w:p>
    <w:p>
      <w:pPr>
        <w:tabs>
          <w:tab w:val="left" w:pos="2655"/>
        </w:tabs>
        <w:jc w:val="both"/>
        <w:rPr>
          <w:rFonts w:ascii="Times New Roman" w:hAnsi="Times New Roman" w:cs="Times New Roman"/>
          <w:b/>
          <w:bCs/>
        </w:rPr>
      </w:pPr>
      <w:r>
        <w:rPr>
          <w:rFonts w:ascii="Times New Roman" w:hAnsi="Times New Roman" w:cs="Times New Roman"/>
        </w:rPr>
        <w:t>Giresun Yüksekokulumuz, Giresun Üniversitesi Yönetim Sistemi Politikasını “Yönetim Sistemi Politikası” olarak benimsemiş olup; kurumsal bilgi üretimi, veri güvenliği, şeffaflık ve hesap verebilirlik ilkeleri doğrultusunda yönetim süreçlerini yürütmektedir. Bu kapsamda karar alma süreçleri kanıt temelli olarak kayıt altına alınmakta, EBYS ve kurumsal web sayfası aracılığıyla bilgilendirme yapılmakta, kalite güvencesi süreçleri düzenli olarak izlenmekte ve değerlendirilmektedir. Kurumsal kaynakların etkin ve verimli kullanımına yönelik izleme mekanizmaları işletilmekte; iç ve dış paydaş geri bildirimleri doğrultusunda sürekli iyileştirme yaklaşımı benimsenmektedir.</w:t>
      </w:r>
    </w:p>
    <w:p>
      <w:pPr>
        <w:rPr>
          <w:rFonts w:ascii="Times New Roman" w:hAnsi="Times New Roman" w:cs="Times New Roman"/>
          <w:b/>
          <w:bCs/>
        </w:rPr>
      </w:pPr>
      <w:r>
        <w:rPr>
          <w:rFonts w:ascii="Times New Roman" w:hAnsi="Times New Roman" w:cs="Times New Roman"/>
          <w:b/>
          <w:bCs/>
        </w:rPr>
        <w:lastRenderedPageBreak/>
        <w:t>A.1.1. Yönetişim modeli ve idari yapı</w:t>
      </w:r>
    </w:p>
    <w:p>
      <w:pPr>
        <w:jc w:val="both"/>
        <w:rPr>
          <w:rFonts w:ascii="Times New Roman" w:hAnsi="Times New Roman" w:cs="Times New Roman"/>
        </w:rPr>
      </w:pPr>
      <w:r>
        <w:rPr>
          <w:rFonts w:ascii="Times New Roman" w:hAnsi="Times New Roman" w:cs="Times New Roman"/>
        </w:rPr>
        <w:t>Yüksekokulumuzun yönetişim modeli ve idari yapılanması, 2547 sayılı Yükseköğretim Kanunu ile Üniversitelerde Akademik Teşkilat Yönetmeliği hükümleri doğrultusunda yapılandırılmış olup kurumsal yönetim süreçleri bu yasal çerçeve içerisinde sürdürülmektedir. 2024 yılında yönetişim kapasitesinin güçlendirilmesi amacıyla kalite güvencesi, risk yönetimi ve akreditasyon odaklı komisyon yapılanmaları planlanmış; Birim Kalite Komisyonu, Risklerin Belirlenmesi ve Değerlendirilmesi Komisyonu ve Akreditasyon Komisyonu bu kapsamda oluşturulmuştur. 2025 yılında ise planlanan bu yapılar uygulama ve izleme boyutunda daha işlevsel hale getirilmiş; eğitim-öğretim, dijitalleşme, öğrenci destek hizmetleri, paydaş ilişkileri ve kaynak yönetimi alanlarında komisyon ve koordinatörlük yapılanmaları genişletilmiştir. Komisyonların görev, yetki ve sorumluluk alanlarının netleştirilmesi ile süreçlerin kurumsal hafıza, görev dağılımı ve raporlama mekanizmaları üzerinden yürütülmesi sağlanmıştır. Organizasyon şemalarının web sitesi aracılığıyla kamuoyu ile paylaşılması yönetişim yapısında şeffaflık ve hesap verebilirlik ilkelerini güçlendirmiştir. Böylece 2025 yılında yönetişim modeli, mevzuata dayalı idari yapıdan veri temelli, katılımcı ve sürdürülebilir bir yönetsel çerçeveye doğru gelişim göstermiştir.</w:t>
      </w:r>
    </w:p>
    <w:p>
      <w:pPr>
        <w:rPr>
          <w:rFonts w:ascii="Times New Roman" w:hAnsi="Times New Roman" w:cs="Times New Roman"/>
          <w:b/>
          <w:bCs/>
        </w:rPr>
      </w:pPr>
      <w:r>
        <w:rPr>
          <w:rFonts w:ascii="Times New Roman" w:hAnsi="Times New Roman" w:cs="Times New Roman"/>
          <w:b/>
          <w:bCs/>
        </w:rPr>
        <w:t>A.1.2. Liderlik</w:t>
      </w:r>
    </w:p>
    <w:p>
      <w:pPr>
        <w:jc w:val="both"/>
        <w:rPr>
          <w:rFonts w:ascii="Times New Roman" w:hAnsi="Times New Roman" w:cs="Times New Roman"/>
        </w:rPr>
      </w:pPr>
      <w:r>
        <w:rPr>
          <w:rFonts w:ascii="Times New Roman" w:hAnsi="Times New Roman" w:cs="Times New Roman"/>
        </w:rPr>
        <w:t>Yüksekokulumuzda liderlik yaklaşımı; kalite güvencesi sisteminin kurumsallaştırılması, stratejik hedeflerle uyumun sağlanması ve sürekli iyileştirme kültürünün geliştirilmesi ekseninde sürdürülmektedir. 2024 yılında liderlik uygulamaları ağırlıklı olarak kalite süreçlerinin yapılandırılması ve planlama mekanizmalarının oluşturulmasına odaklanmış; ders dağılımları, ders ve sınav programları, staj süreçleri ve kurul toplantıları planlı biçimde yürütülmüştür. 2025 yılında ise liderlik fonksiyonu uygulama, izleme ve iyileştirme boyutunda belirgin biçimde güçlendirilmiştir. Birim yöneticilerinin kalite komisyonu çalışmalarına aktif katılımı sağlanmış, süreç performansı düzenli kontroller aracılığıyla değerlendirilmiş ve elde edilen bulgular karar alma mekanizmalarına yansıtılmıştır. Liderlik rolü yalnızca idari koordinasyon düzeyinde kalmayarak risk yönetimi, performans izleme ve kalite kültürünün yaygınlaştırılması alanlarında yönlendirici bir işlev üstlenmiştir. Bu gelişim, PUKÖ döngüsünün planlama ve uygulama adımlarından kontrol ve önlem alma aşamalarına doğru kurumsal düzeyde işletildiğini göstermektedir.</w:t>
      </w:r>
    </w:p>
    <w:p>
      <w:pPr>
        <w:rPr>
          <w:rFonts w:ascii="Times New Roman" w:hAnsi="Times New Roman" w:cs="Times New Roman"/>
          <w:b/>
          <w:bCs/>
        </w:rPr>
      </w:pPr>
      <w:r>
        <w:rPr>
          <w:rFonts w:ascii="Times New Roman" w:hAnsi="Times New Roman" w:cs="Times New Roman"/>
          <w:b/>
          <w:bCs/>
        </w:rPr>
        <w:t>A.1.3. Kurumsal dönüşüm kapasitesi</w:t>
      </w:r>
    </w:p>
    <w:p>
      <w:pPr>
        <w:jc w:val="both"/>
        <w:rPr>
          <w:rFonts w:ascii="Times New Roman" w:hAnsi="Times New Roman" w:cs="Times New Roman"/>
        </w:rPr>
      </w:pPr>
      <w:r>
        <w:rPr>
          <w:rFonts w:ascii="Times New Roman" w:hAnsi="Times New Roman" w:cs="Times New Roman"/>
        </w:rPr>
        <w:t xml:space="preserve">Yüksekokulumuz, kurumsal dönüşüm kapasitesini değişen yükseköğretim dinamikleri, bölgesel ihtiyaçlar ve sektörel beklentiler doğrultusunda planlı biçimde geliştirmektedir. 2024 yılında yeni program açma, altyapı hazırlıkları ve akademik yapılanmanın güçlendirilmesi öncelikli planlama alanları arasında yer almış; Medya ve İletişim Programı’nın öğrenci alımına başlaması önemli bir uygulama çıktısı olarak gerçekleşmiştir. 2025 yılında ise dönüşüm yaklaşımı izleme ve değerlendirme sonuçları doğrultusunda daha stratejik bir nitelik kazanmıştır. </w:t>
      </w:r>
    </w:p>
    <w:p>
      <w:pPr>
        <w:jc w:val="both"/>
        <w:rPr>
          <w:rFonts w:ascii="Times New Roman" w:hAnsi="Times New Roman" w:cs="Times New Roman"/>
        </w:rPr>
      </w:pPr>
      <w:r>
        <w:rPr>
          <w:rFonts w:ascii="Times New Roman" w:hAnsi="Times New Roman" w:cs="Times New Roman"/>
        </w:rPr>
        <w:t xml:space="preserve">Sosyal Hizmetler Programı’na öğrenci alımına izin verilmemesi üzerine kaynakların etkin kullanımı, bölgesel ihtiyaç analizi ve sürdürülebilir programlaşma anlayışı çerçevesinde Evde </w:t>
      </w:r>
      <w:r>
        <w:rPr>
          <w:rFonts w:ascii="Times New Roman" w:hAnsi="Times New Roman" w:cs="Times New Roman"/>
        </w:rPr>
        <w:lastRenderedPageBreak/>
        <w:t>Hasta Bakımı Programı’na dönüşüm süreci planlanmıştır. Aynı dönemde Ormancılık ve Orman Ürünleri, Dijital Tarım Teknolojisi, Tıbbi Laboratuvar Teknikleri ve Dijital Sağlık Sistemleri Teknikerliği programlarının açılmasına yönelik ön onay süreçleri başlatılmıştır. Böylece kurumsal dönüşüm kapasitesi, reaktif uyum yaklaşımından proaktif ve stratejik yeniden yapılanma anlayışına doğru gelişim göstermiştir.</w:t>
      </w:r>
    </w:p>
    <w:p>
      <w:pPr>
        <w:jc w:val="both"/>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A.1.4. İç kalite güvencesi mekanizmaları</w:t>
      </w:r>
    </w:p>
    <w:p>
      <w:pPr>
        <w:jc w:val="both"/>
        <w:rPr>
          <w:rFonts w:ascii="Times New Roman" w:hAnsi="Times New Roman" w:cs="Times New Roman"/>
        </w:rPr>
      </w:pPr>
      <w:r>
        <w:rPr>
          <w:rFonts w:ascii="Times New Roman" w:hAnsi="Times New Roman" w:cs="Times New Roman"/>
        </w:rPr>
        <w:t xml:space="preserve">Yüksekokulumuzda iç kalite güvencesi mekanizmaları Üniversitemiz Birim Kalite Komisyonları Yönergesi doğrultusunda yürütülmektedir. 2024 yılında kalite komisyonu yapılanması, faaliyet raporu temelli izleme yaklaşımı ve kalite süreçlerinin yapılandırılması planlanmış ve uygulanmıştır. 2025 yılında ise kalite güvencesi sistemi katılımcılık ve izlenebilirlik boyutunda güçlendirilmiştir. Bölüm ve program bazında öğrenci kalite temsilcilerinin belirlenmesiyle kalite süreçlerine öğrenci katılımı kurumsal güvence altına alınmıştır. </w:t>
      </w:r>
    </w:p>
    <w:p>
      <w:pPr>
        <w:jc w:val="both"/>
        <w:rPr>
          <w:rFonts w:ascii="Times New Roman" w:hAnsi="Times New Roman" w:cs="Times New Roman"/>
        </w:rPr>
      </w:pPr>
      <w:r>
        <w:rPr>
          <w:rFonts w:ascii="Times New Roman" w:hAnsi="Times New Roman" w:cs="Times New Roman"/>
        </w:rPr>
        <w:t>Akademik faaliyet verilerinin sistematik biçimde toplanması, faaliyet raporlarının hazırlanması ve kalite sekmesi aracılığıyla kamuoyu ile paylaşılması kalite güvencesi kültürünü desteklemiştir. Eğitim-öğretim ve araştırma süreçlerinde PUKÖ döngüsünün uygulanmasına yönelik farkındalık artmış; izleme sonuçları doğrultusunda iyileştirme planlamaları yapılmıştır.</w:t>
      </w:r>
    </w:p>
    <w:p>
      <w:pPr>
        <w:rPr>
          <w:rFonts w:ascii="Times New Roman" w:hAnsi="Times New Roman" w:cs="Times New Roman"/>
          <w:b/>
          <w:bCs/>
        </w:rPr>
      </w:pPr>
      <w:r>
        <w:rPr>
          <w:rFonts w:ascii="Times New Roman" w:hAnsi="Times New Roman" w:cs="Times New Roman"/>
          <w:b/>
          <w:bCs/>
        </w:rPr>
        <w:t>A.1.5. Kamuoyunu bilgilendirme ve hesap verebilirlik</w:t>
      </w:r>
    </w:p>
    <w:p>
      <w:pPr>
        <w:jc w:val="both"/>
        <w:rPr>
          <w:rFonts w:ascii="Times New Roman" w:hAnsi="Times New Roman" w:cs="Times New Roman"/>
        </w:rPr>
      </w:pPr>
      <w:r>
        <w:rPr>
          <w:rFonts w:ascii="Times New Roman" w:hAnsi="Times New Roman" w:cs="Times New Roman"/>
        </w:rPr>
        <w:t xml:space="preserve">Şeffaflık ve hesap verebilirlik ilkeleri doğrultusunda kurumsal bilgilendirme süreçleri web sitesi, EBYS ve e-posta sistemleri aracılığıyla yürütülmektedir. 2024 yılında duyuru ve bilgilendirme mekanizmaları düzenli olarak işletilmiş; 2025 yılında ise dijital iletişim kanallarının etkinliği artırılmış ve geri bildirim süreçleri sistematik hale getirilmiştir. </w:t>
      </w:r>
    </w:p>
    <w:p>
      <w:pPr>
        <w:jc w:val="both"/>
        <w:rPr>
          <w:rFonts w:ascii="Times New Roman" w:hAnsi="Times New Roman" w:cs="Times New Roman"/>
        </w:rPr>
      </w:pPr>
      <w:r>
        <w:rPr>
          <w:rFonts w:ascii="Times New Roman" w:hAnsi="Times New Roman" w:cs="Times New Roman"/>
        </w:rPr>
        <w:t>Öğretim planları, ders ve sınav programları ile akademik ve idari duyurular süresi içinde yayımlanarak bilgiye erişimde süreklilik sağlanmıştır. Birim e-posta ve iletişim modülleri aracılığıyla iletilen talepler kayıt altına alınmış ve süresi içerisinde yanıtlanmıştır.</w:t>
      </w:r>
    </w:p>
    <w:p>
      <w:pPr>
        <w:rPr>
          <w:rFonts w:ascii="Times New Roman" w:hAnsi="Times New Roman" w:cs="Times New Roman"/>
          <w:b/>
          <w:bCs/>
        </w:rPr>
      </w:pPr>
      <w:r>
        <w:rPr>
          <w:rFonts w:ascii="Times New Roman" w:hAnsi="Times New Roman" w:cs="Times New Roman"/>
          <w:b/>
          <w:bCs/>
        </w:rPr>
        <w:t>A.1.6. Misyon, vizyon ve politikalar</w:t>
      </w:r>
    </w:p>
    <w:p>
      <w:pPr>
        <w:jc w:val="both"/>
        <w:rPr>
          <w:rFonts w:ascii="Times New Roman" w:hAnsi="Times New Roman" w:cs="Times New Roman"/>
        </w:rPr>
      </w:pPr>
      <w:r>
        <w:rPr>
          <w:rFonts w:ascii="Times New Roman" w:hAnsi="Times New Roman" w:cs="Times New Roman"/>
        </w:rPr>
        <w:t>Yüksekokulumuzun misyon, vizyon ve temel politikaları kurumsal kimlik ve stratejik yönelim doğrultusunda belirlenmiş olup hem BÖDR içerisinde hem de kurumsal web sitesinde kamuoyu ile paylaşılmaktadır. 2025 yılında stratejik plan ile uyumun güçlendirilmesi ve kalite politikalarının görünürlüğünün artırılmasına yönelik bilgilendirme uygulamaları sürdürülmüştür.</w:t>
      </w:r>
    </w:p>
    <w:p>
      <w:pPr>
        <w:rPr>
          <w:rFonts w:ascii="Times New Roman" w:hAnsi="Times New Roman" w:cs="Times New Roman"/>
          <w:b/>
          <w:bCs/>
        </w:rPr>
      </w:pPr>
      <w:r>
        <w:rPr>
          <w:rFonts w:ascii="Times New Roman" w:hAnsi="Times New Roman" w:cs="Times New Roman"/>
          <w:b/>
          <w:bCs/>
        </w:rPr>
        <w:t>A.1.7. Stratejik amaç ve hedefler</w:t>
      </w:r>
    </w:p>
    <w:p>
      <w:pPr>
        <w:jc w:val="both"/>
        <w:rPr>
          <w:rFonts w:ascii="Times New Roman" w:hAnsi="Times New Roman" w:cs="Times New Roman"/>
        </w:rPr>
      </w:pPr>
      <w:r>
        <w:rPr>
          <w:rFonts w:ascii="Times New Roman" w:hAnsi="Times New Roman" w:cs="Times New Roman"/>
        </w:rPr>
        <w:t>Stratejik amaç ve hedefler Üniversitemizin 2025–2029 Stratejik Planı ile uyumlu olarak sürdürülmektedir. 2024 yılında stratejik plan uyum çalışmaları planlanmış; 2025 yılında ise stratejik hedeflerin birim faaliyetleriyle ilişkilendirilmesi ve performans göstergeleri üzerinden izlenmesine yönelik uygulamalar güçlendirilmiştir.</w:t>
      </w:r>
    </w:p>
    <w:tbl>
      <w:tblPr>
        <w:tblStyle w:val="TabloKlavuzu"/>
        <w:tblW w:w="0" w:type="auto"/>
        <w:tblInd w:w="200" w:type="dxa"/>
        <w:tblLook w:val="04A0"/>
      </w:tblPr>
      <w:tblGrid>
        <w:gridCol w:w="4392"/>
        <w:gridCol w:w="4470"/>
      </w:tblGrid>
      <w:tr>
        <w:tc>
          <w:tcPr>
            <w:tcW w:w="4392" w:type="dxa"/>
          </w:tcPr>
          <w:p>
            <w:pPr>
              <w:pStyle w:val="Balk4"/>
              <w:tabs>
                <w:tab w:val="left" w:pos="840"/>
              </w:tabs>
              <w:jc w:val="center"/>
              <w:outlineLvl w:val="3"/>
              <w:rPr>
                <w:rFonts w:ascii="Times New Roman" w:hAnsi="Times New Roman" w:cs="Times New Roman"/>
                <w:b/>
                <w:bCs/>
                <w:i w:val="0"/>
                <w:color w:val="auto"/>
                <w:spacing w:val="-2"/>
                <w:sz w:val="24"/>
                <w:szCs w:val="24"/>
                <w:lang w:val="tr-TR"/>
              </w:rPr>
            </w:pPr>
            <w:r>
              <w:rPr>
                <w:rFonts w:ascii="Times New Roman" w:hAnsi="Times New Roman" w:cs="Times New Roman"/>
                <w:b/>
                <w:bCs/>
                <w:i w:val="0"/>
                <w:color w:val="auto"/>
                <w:spacing w:val="-2"/>
                <w:sz w:val="24"/>
                <w:szCs w:val="24"/>
                <w:lang w:val="tr-TR"/>
              </w:rPr>
              <w:lastRenderedPageBreak/>
              <w:t>Stratejik Amaçlar</w:t>
            </w:r>
          </w:p>
        </w:tc>
        <w:tc>
          <w:tcPr>
            <w:tcW w:w="4470" w:type="dxa"/>
          </w:tcPr>
          <w:p>
            <w:pPr>
              <w:pStyle w:val="Balk4"/>
              <w:tabs>
                <w:tab w:val="left" w:pos="840"/>
              </w:tabs>
              <w:jc w:val="center"/>
              <w:outlineLvl w:val="3"/>
              <w:rPr>
                <w:rFonts w:ascii="Times New Roman" w:hAnsi="Times New Roman" w:cs="Times New Roman"/>
                <w:b/>
                <w:bCs/>
                <w:i w:val="0"/>
                <w:color w:val="auto"/>
                <w:spacing w:val="-2"/>
                <w:sz w:val="24"/>
                <w:szCs w:val="24"/>
                <w:lang w:val="tr-TR"/>
              </w:rPr>
            </w:pPr>
            <w:r>
              <w:rPr>
                <w:rFonts w:ascii="Times New Roman" w:hAnsi="Times New Roman" w:cs="Times New Roman"/>
                <w:b/>
                <w:bCs/>
                <w:i w:val="0"/>
                <w:color w:val="auto"/>
                <w:spacing w:val="-2"/>
                <w:sz w:val="24"/>
                <w:szCs w:val="24"/>
                <w:lang w:val="tr-TR"/>
              </w:rPr>
              <w:t>Stratejik Hedefler</w:t>
            </w:r>
          </w:p>
        </w:tc>
      </w:tr>
      <w:tr>
        <w:tc>
          <w:tcPr>
            <w:tcW w:w="4392" w:type="dxa"/>
            <w:tcBorders>
              <w:top w:val="single" w:sz="4" w:space="0" w:color="000000"/>
              <w:left w:val="single" w:sz="4" w:space="0" w:color="000000"/>
              <w:bottom w:val="single" w:sz="4" w:space="0" w:color="000000"/>
              <w:right w:val="single" w:sz="4" w:space="0" w:color="000000"/>
            </w:tcBorders>
          </w:tcPr>
          <w:p>
            <w:pPr>
              <w:pStyle w:val="Balk4"/>
              <w:tabs>
                <w:tab w:val="left" w:pos="840"/>
              </w:tabs>
              <w:jc w:val="both"/>
              <w:outlineLvl w:val="3"/>
              <w:rPr>
                <w:rFonts w:ascii="Times New Roman" w:hAnsi="Times New Roman" w:cs="Times New Roman"/>
                <w:b/>
                <w:i w:val="0"/>
                <w:color w:val="auto"/>
                <w:spacing w:val="-2"/>
                <w:sz w:val="24"/>
                <w:szCs w:val="24"/>
                <w:lang w:val="tr-TR"/>
              </w:rPr>
            </w:pPr>
            <w:r>
              <w:rPr>
                <w:rFonts w:ascii="Times New Roman" w:hAnsi="Times New Roman" w:cs="Times New Roman"/>
                <w:i w:val="0"/>
                <w:color w:val="auto"/>
                <w:sz w:val="24"/>
                <w:szCs w:val="24"/>
                <w:lang w:val="tr-TR"/>
              </w:rPr>
              <w:t>Yüksekokul kurumsal kapasitesini üniversitemizin kalite güvence sistemi çerçevesinde etkin kılıp güçlendirmek.</w:t>
            </w:r>
          </w:p>
        </w:tc>
        <w:tc>
          <w:tcPr>
            <w:tcW w:w="4470" w:type="dxa"/>
            <w:tcBorders>
              <w:top w:val="single" w:sz="4" w:space="0" w:color="000000"/>
              <w:left w:val="single" w:sz="4" w:space="0" w:color="000000"/>
              <w:bottom w:val="single" w:sz="4" w:space="0" w:color="000000"/>
              <w:right w:val="single" w:sz="4" w:space="0" w:color="000000"/>
            </w:tcBorders>
          </w:tcPr>
          <w:p>
            <w:pPr>
              <w:pStyle w:val="Balk4"/>
              <w:tabs>
                <w:tab w:val="left" w:pos="840"/>
              </w:tabs>
              <w:jc w:val="both"/>
              <w:outlineLvl w:val="3"/>
              <w:rPr>
                <w:rFonts w:ascii="Times New Roman" w:hAnsi="Times New Roman" w:cs="Times New Roman"/>
                <w:b/>
                <w:i w:val="0"/>
                <w:color w:val="auto"/>
                <w:spacing w:val="-2"/>
                <w:sz w:val="24"/>
                <w:szCs w:val="24"/>
                <w:lang w:val="tr-TR"/>
              </w:rPr>
            </w:pPr>
            <w:r>
              <w:rPr>
                <w:rFonts w:ascii="Times New Roman" w:hAnsi="Times New Roman" w:cs="Times New Roman"/>
                <w:i w:val="0"/>
                <w:color w:val="auto"/>
                <w:sz w:val="24"/>
                <w:szCs w:val="24"/>
                <w:lang w:val="tr-TR"/>
              </w:rPr>
              <w:t>Yüksekokulumuzdaki yeni açılacak bölüm ve programlar neticesinde insan kaynağı yapısını nitelikli olarak geliştirmek.</w:t>
            </w:r>
          </w:p>
        </w:tc>
      </w:tr>
      <w:tr>
        <w:tc>
          <w:tcPr>
            <w:tcW w:w="4392" w:type="dxa"/>
            <w:tcBorders>
              <w:top w:val="single" w:sz="4" w:space="0" w:color="000000"/>
              <w:left w:val="single" w:sz="4" w:space="0" w:color="000000"/>
              <w:bottom w:val="single" w:sz="4" w:space="0" w:color="000000"/>
              <w:right w:val="single" w:sz="4" w:space="0" w:color="000000"/>
            </w:tcBorders>
          </w:tcPr>
          <w:p>
            <w:pPr>
              <w:pStyle w:val="Balk4"/>
              <w:tabs>
                <w:tab w:val="left" w:pos="840"/>
              </w:tabs>
              <w:jc w:val="both"/>
              <w:outlineLvl w:val="3"/>
              <w:rPr>
                <w:rFonts w:ascii="Times New Roman" w:hAnsi="Times New Roman" w:cs="Times New Roman"/>
                <w:b/>
                <w:i w:val="0"/>
                <w:color w:val="auto"/>
                <w:spacing w:val="-2"/>
                <w:sz w:val="24"/>
                <w:szCs w:val="24"/>
                <w:lang w:val="tr-TR"/>
              </w:rPr>
            </w:pPr>
            <w:r>
              <w:rPr>
                <w:rFonts w:ascii="Times New Roman" w:hAnsi="Times New Roman" w:cs="Times New Roman"/>
                <w:i w:val="0"/>
                <w:color w:val="auto"/>
                <w:sz w:val="24"/>
                <w:szCs w:val="24"/>
                <w:lang w:val="tr-TR"/>
              </w:rPr>
              <w:t>Bilimsel araştırma ve geliştirme faaliyetlerini daha geniş bir tabana yayarak bu konuda tüm akademik personeli teşvik etmek.</w:t>
            </w:r>
          </w:p>
        </w:tc>
        <w:tc>
          <w:tcPr>
            <w:tcW w:w="4470" w:type="dxa"/>
            <w:tcBorders>
              <w:top w:val="single" w:sz="4" w:space="0" w:color="000000"/>
              <w:left w:val="single" w:sz="4" w:space="0" w:color="000000"/>
              <w:bottom w:val="single" w:sz="4" w:space="0" w:color="000000"/>
              <w:right w:val="single" w:sz="4" w:space="0" w:color="000000"/>
            </w:tcBorders>
          </w:tcPr>
          <w:p>
            <w:pPr>
              <w:pStyle w:val="Balk4"/>
              <w:tabs>
                <w:tab w:val="left" w:pos="840"/>
              </w:tabs>
              <w:jc w:val="both"/>
              <w:outlineLvl w:val="3"/>
              <w:rPr>
                <w:rFonts w:ascii="Times New Roman" w:hAnsi="Times New Roman" w:cs="Times New Roman"/>
                <w:b/>
                <w:i w:val="0"/>
                <w:color w:val="auto"/>
                <w:spacing w:val="-2"/>
                <w:sz w:val="24"/>
                <w:szCs w:val="24"/>
                <w:lang w:val="tr-TR"/>
              </w:rPr>
            </w:pPr>
            <w:r>
              <w:rPr>
                <w:rFonts w:ascii="Times New Roman" w:hAnsi="Times New Roman" w:cs="Times New Roman"/>
                <w:i w:val="0"/>
                <w:color w:val="auto"/>
                <w:sz w:val="24"/>
                <w:szCs w:val="24"/>
                <w:lang w:val="tr-TR"/>
              </w:rPr>
              <w:t>Araştırma ve geliştirme faaliyetlerinin duyurulması ve daha geniş bir tabana yayılması için çalışmaları hızlandırıp artırmak. Birimimiz bünyesinde daha fazla akademik çalışma yapılması doğrultusunda motivasyon oluşturmak. Birimimizin ulusal ve uluslararası nitelikteki çalışmalara katkısını artırmak.</w:t>
            </w:r>
          </w:p>
        </w:tc>
      </w:tr>
      <w:tr>
        <w:tc>
          <w:tcPr>
            <w:tcW w:w="4392" w:type="dxa"/>
            <w:tcBorders>
              <w:top w:val="single" w:sz="4" w:space="0" w:color="000000"/>
              <w:left w:val="single" w:sz="4" w:space="0" w:color="000000"/>
              <w:bottom w:val="single" w:sz="4" w:space="0" w:color="000000"/>
              <w:right w:val="single" w:sz="4" w:space="0" w:color="000000"/>
            </w:tcBorders>
          </w:tcPr>
          <w:p>
            <w:pPr>
              <w:pStyle w:val="Balk4"/>
              <w:tabs>
                <w:tab w:val="left" w:pos="840"/>
              </w:tabs>
              <w:jc w:val="both"/>
              <w:outlineLvl w:val="3"/>
              <w:rPr>
                <w:rFonts w:ascii="Times New Roman" w:hAnsi="Times New Roman" w:cs="Times New Roman"/>
                <w:b/>
                <w:i w:val="0"/>
                <w:color w:val="auto"/>
                <w:spacing w:val="-2"/>
                <w:sz w:val="24"/>
                <w:szCs w:val="24"/>
                <w:lang w:val="tr-TR"/>
              </w:rPr>
            </w:pPr>
            <w:r>
              <w:rPr>
                <w:rFonts w:ascii="Times New Roman" w:hAnsi="Times New Roman" w:cs="Times New Roman"/>
                <w:i w:val="0"/>
                <w:color w:val="auto"/>
                <w:sz w:val="24"/>
                <w:szCs w:val="24"/>
                <w:lang w:val="tr-TR"/>
              </w:rPr>
              <w:t>Toplumsal katkı bağlamındaki faaliyet sayısını daha da artırmak.</w:t>
            </w:r>
          </w:p>
        </w:tc>
        <w:tc>
          <w:tcPr>
            <w:tcW w:w="4470" w:type="dxa"/>
            <w:tcBorders>
              <w:top w:val="single" w:sz="4" w:space="0" w:color="000000"/>
              <w:left w:val="single" w:sz="4" w:space="0" w:color="000000"/>
              <w:bottom w:val="single" w:sz="4" w:space="0" w:color="000000"/>
              <w:right w:val="single" w:sz="4" w:space="0" w:color="000000"/>
            </w:tcBorders>
          </w:tcPr>
          <w:p>
            <w:pPr>
              <w:pStyle w:val="Balk4"/>
              <w:tabs>
                <w:tab w:val="left" w:pos="840"/>
              </w:tabs>
              <w:jc w:val="both"/>
              <w:outlineLvl w:val="3"/>
              <w:rPr>
                <w:rFonts w:ascii="Times New Roman" w:hAnsi="Times New Roman" w:cs="Times New Roman"/>
                <w:b/>
                <w:i w:val="0"/>
                <w:color w:val="auto"/>
                <w:spacing w:val="-2"/>
                <w:sz w:val="24"/>
                <w:szCs w:val="24"/>
                <w:lang w:val="tr-TR"/>
              </w:rPr>
            </w:pPr>
            <w:r>
              <w:rPr>
                <w:rFonts w:ascii="Times New Roman" w:hAnsi="Times New Roman" w:cs="Times New Roman"/>
                <w:i w:val="0"/>
                <w:color w:val="auto"/>
                <w:sz w:val="24"/>
                <w:szCs w:val="24"/>
                <w:lang w:val="tr-TR"/>
              </w:rPr>
              <w:t xml:space="preserve">Özellikle bazı bölüm ve programlar aracılığı ile Yüksekokul-ilçe halkı birlikteliğine yönelik projeler geliştirmek. </w:t>
            </w:r>
          </w:p>
        </w:tc>
      </w:tr>
    </w:tbl>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2025-2029 stratejik planı baz alınarak söz konusu stratejik amaç ve hedefler üzerinde gelecekte daha fazla çalışma yapılarak iyileştirmeler sağlanması hedeflenmektedir.</w:t>
      </w:r>
    </w:p>
    <w:p>
      <w:pPr>
        <w:rPr>
          <w:rFonts w:ascii="Times New Roman" w:hAnsi="Times New Roman" w:cs="Times New Roman"/>
          <w:b/>
          <w:bCs/>
        </w:rPr>
      </w:pPr>
      <w:r>
        <w:rPr>
          <w:rFonts w:ascii="Times New Roman" w:hAnsi="Times New Roman" w:cs="Times New Roman"/>
          <w:b/>
          <w:bCs/>
        </w:rPr>
        <w:t>A.1.8. Performans yönetimi</w:t>
      </w:r>
    </w:p>
    <w:p>
      <w:pPr>
        <w:jc w:val="both"/>
        <w:rPr>
          <w:rFonts w:ascii="Times New Roman" w:hAnsi="Times New Roman" w:cs="Times New Roman"/>
        </w:rPr>
      </w:pPr>
      <w:r>
        <w:rPr>
          <w:rFonts w:ascii="Times New Roman" w:hAnsi="Times New Roman" w:cs="Times New Roman"/>
        </w:rPr>
        <w:t>Kurumsal performans yönetimi kapsamında performans göstergelerine ilişkin veriler GUYBİS sistemi aracılığıyla izlenebilir kılınmaktadır. 2025 yılında performans verilerinin düzenli izlenmesi ve değerlendirilmesine yönelik farkındalık artmış; kaynak kullanımında denge ve etkinlik ilkeleri gözetilmiştir.</w:t>
      </w:r>
    </w:p>
    <w:p>
      <w:pPr>
        <w:rPr>
          <w:rFonts w:ascii="Times New Roman" w:hAnsi="Times New Roman" w:cs="Times New Roman"/>
          <w:b/>
          <w:bCs/>
        </w:rPr>
      </w:pPr>
      <w:r>
        <w:rPr>
          <w:rFonts w:ascii="Times New Roman" w:hAnsi="Times New Roman" w:cs="Times New Roman"/>
          <w:b/>
          <w:bCs/>
        </w:rPr>
        <w:t>A.2. Yönetim Sistemleri</w:t>
      </w:r>
    </w:p>
    <w:p>
      <w:pPr>
        <w:rPr>
          <w:rFonts w:ascii="Times New Roman" w:hAnsi="Times New Roman" w:cs="Times New Roman"/>
          <w:b/>
          <w:bCs/>
        </w:rPr>
      </w:pPr>
      <w:r>
        <w:rPr>
          <w:rFonts w:ascii="Times New Roman" w:hAnsi="Times New Roman" w:cs="Times New Roman"/>
          <w:b/>
          <w:bCs/>
        </w:rPr>
        <w:t>A.2.1. Bilgi yönetim sistemi</w:t>
      </w:r>
    </w:p>
    <w:p>
      <w:pPr>
        <w:jc w:val="both"/>
        <w:rPr>
          <w:rFonts w:ascii="Times New Roman" w:hAnsi="Times New Roman" w:cs="Times New Roman"/>
        </w:rPr>
      </w:pPr>
      <w:r>
        <w:rPr>
          <w:rFonts w:ascii="Times New Roman" w:hAnsi="Times New Roman" w:cs="Times New Roman"/>
        </w:rPr>
        <w:t>Bilgi ve belge yönetimi süreçleri EBYS ve üniversite bilgi sistemleri aracılığıyla yürütülmektedir. 2024 yılında bilgi sistemi geçiş süreçleri değerlendirilmiş; 2025 yılında EBYS kullanımında istikrar sağlanmış ve dijital kayıt-izleme süreçleri düzenli hale getirilmiştir.</w:t>
      </w:r>
    </w:p>
    <w:p>
      <w:pPr>
        <w:rPr>
          <w:rFonts w:ascii="Times New Roman" w:hAnsi="Times New Roman" w:cs="Times New Roman"/>
          <w:b/>
          <w:bCs/>
        </w:rPr>
      </w:pPr>
      <w:r>
        <w:rPr>
          <w:rFonts w:ascii="Times New Roman" w:hAnsi="Times New Roman" w:cs="Times New Roman"/>
          <w:b/>
          <w:bCs/>
        </w:rPr>
        <w:t>A.2.2. Finansal yönetim</w:t>
      </w:r>
    </w:p>
    <w:p>
      <w:pPr>
        <w:jc w:val="both"/>
        <w:rPr>
          <w:rFonts w:ascii="Times New Roman" w:hAnsi="Times New Roman" w:cs="Times New Roman"/>
        </w:rPr>
      </w:pPr>
      <w:r>
        <w:rPr>
          <w:rFonts w:ascii="Times New Roman" w:hAnsi="Times New Roman" w:cs="Times New Roman"/>
        </w:rPr>
        <w:t>Finansal yönetim süreçleri 5018 sayılı Kanun ve ilgili ihale mevzuatı çerçevesinde yürütülmektedir. 2025 yılında iş akış şemalarının hazırlanmasına yönelik çalışmalar sürdürülmüş; kaynakların etkin, ekonomik ve verimli kullanımı esas alınmıştır.</w:t>
      </w:r>
    </w:p>
    <w:p>
      <w:pPr>
        <w:rPr>
          <w:rFonts w:ascii="Times New Roman" w:hAnsi="Times New Roman" w:cs="Times New Roman"/>
          <w:b/>
          <w:bCs/>
        </w:rPr>
      </w:pPr>
      <w:r>
        <w:rPr>
          <w:rFonts w:ascii="Times New Roman" w:hAnsi="Times New Roman" w:cs="Times New Roman"/>
          <w:b/>
          <w:bCs/>
        </w:rPr>
        <w:t>A.2.3. Süreç yönetimi</w:t>
      </w:r>
    </w:p>
    <w:p>
      <w:pPr>
        <w:jc w:val="both"/>
        <w:rPr>
          <w:rFonts w:ascii="Times New Roman" w:hAnsi="Times New Roman" w:cs="Times New Roman"/>
        </w:rPr>
      </w:pPr>
      <w:r>
        <w:rPr>
          <w:rFonts w:ascii="Times New Roman" w:hAnsi="Times New Roman" w:cs="Times New Roman"/>
        </w:rPr>
        <w:t>Süreç ve alt süreçlerin tanımlanması, iş akışlarının oluşturulması ve dokümantasyon çalışmaları 2024 yılında planlanmış, 2025 yılında kapsamı genişletilmiş olup uygulamaya başlanmıştır. Süreç yönetiminde kurumsal hafıza, izlenebilirlik ve sürekli iyileştirme ilkeleri güçlendirilmiştir.</w:t>
      </w:r>
    </w:p>
    <w:p>
      <w:pPr>
        <w:jc w:val="both"/>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A.3. Paydaş Katılımı</w:t>
      </w:r>
    </w:p>
    <w:p>
      <w:pPr>
        <w:rPr>
          <w:rFonts w:ascii="Times New Roman" w:hAnsi="Times New Roman" w:cs="Times New Roman"/>
          <w:b/>
          <w:bCs/>
        </w:rPr>
      </w:pPr>
      <w:r>
        <w:rPr>
          <w:rFonts w:ascii="Times New Roman" w:hAnsi="Times New Roman" w:cs="Times New Roman"/>
          <w:b/>
          <w:bCs/>
        </w:rPr>
        <w:t>A.3.1. İç ve dış paydaş katılımı</w:t>
      </w:r>
    </w:p>
    <w:p>
      <w:pPr>
        <w:jc w:val="both"/>
        <w:rPr>
          <w:rFonts w:ascii="Times New Roman" w:hAnsi="Times New Roman" w:cs="Times New Roman"/>
        </w:rPr>
      </w:pPr>
      <w:r>
        <w:rPr>
          <w:rFonts w:ascii="Times New Roman" w:hAnsi="Times New Roman" w:cs="Times New Roman"/>
        </w:rPr>
        <w:t xml:space="preserve">2024 yılında paydaş katılım mekanizmalarının geliştirilmesi planlanmış; 2025 yılında iç ve dış paydaşlarla yürütülen iletişim süreçleri daha sistematik hale getirilmiştir. Paydaş görüşlerinin kalite süreçlerine entegrasyonu güçlendirilmiştir. Program bazlı yürütülen paydaş analizi ve danışma kurullarının oluşumu ile birlikte 2026 Yüksekokul Danışma Kurulu revize edilmesi planlanmaktadır. </w:t>
      </w:r>
    </w:p>
    <w:p>
      <w:pPr>
        <w:rPr>
          <w:rFonts w:ascii="Times New Roman" w:hAnsi="Times New Roman" w:cs="Times New Roman"/>
          <w:b/>
          <w:bCs/>
        </w:rPr>
      </w:pPr>
      <w:r>
        <w:rPr>
          <w:rFonts w:ascii="Times New Roman" w:hAnsi="Times New Roman" w:cs="Times New Roman"/>
          <w:b/>
          <w:bCs/>
        </w:rPr>
        <w:t>A.3.2. Öğrenci geri bildirimleri</w:t>
      </w:r>
    </w:p>
    <w:p>
      <w:pPr>
        <w:jc w:val="both"/>
        <w:rPr>
          <w:rFonts w:ascii="Times New Roman" w:hAnsi="Times New Roman" w:cs="Times New Roman"/>
        </w:rPr>
      </w:pPr>
      <w:r>
        <w:rPr>
          <w:rFonts w:ascii="Times New Roman" w:hAnsi="Times New Roman" w:cs="Times New Roman"/>
        </w:rPr>
        <w:t xml:space="preserve">Öğrenciler memnuniyet anketlerine katılım için yönlendirilmiş; 2025 yılında öğrenci kalite temsilciliği uygulamasıyla geri bildirim mekanizmalarının kurumsal temsili artırılmıştır. Öğrenci geri bildirimlerinin 2026 yılında çeşitlendirilmesi planlanmakta olup birim kalite komisyonu kararları ile uygulanması önerilmektedir. </w:t>
      </w:r>
    </w:p>
    <w:p>
      <w:pPr>
        <w:rPr>
          <w:rFonts w:ascii="Times New Roman" w:hAnsi="Times New Roman" w:cs="Times New Roman"/>
          <w:b/>
          <w:bCs/>
        </w:rPr>
      </w:pPr>
      <w:r>
        <w:rPr>
          <w:rFonts w:ascii="Times New Roman" w:hAnsi="Times New Roman" w:cs="Times New Roman"/>
          <w:b/>
          <w:bCs/>
        </w:rPr>
        <w:t>A.3.3. Mezun ilişkileri yönetimi</w:t>
      </w:r>
    </w:p>
    <w:p>
      <w:pPr>
        <w:jc w:val="both"/>
        <w:rPr>
          <w:rFonts w:ascii="Times New Roman" w:hAnsi="Times New Roman" w:cs="Times New Roman"/>
        </w:rPr>
      </w:pPr>
      <w:r>
        <w:rPr>
          <w:rFonts w:ascii="Times New Roman" w:hAnsi="Times New Roman" w:cs="Times New Roman"/>
        </w:rPr>
        <w:t>Mezun bilgi sistemi aracılığıyla mezun verileri izlenmiş; 2025 yılında mezun-öğrenci etkileşimini güçlendiren faaliyetler sürdürülmüştür.</w:t>
      </w:r>
    </w:p>
    <w:p>
      <w:pPr>
        <w:jc w:val="both"/>
        <w:rPr>
          <w:rFonts w:ascii="Times New Roman" w:hAnsi="Times New Roman" w:cs="Times New Roman"/>
        </w:rPr>
      </w:pPr>
      <w:r>
        <w:rPr>
          <w:rFonts w:ascii="Times New Roman" w:hAnsi="Times New Roman" w:cs="Times New Roman"/>
        </w:rPr>
        <w:t xml:space="preserve">Mezun öğrenciler ile mevcut öğrencileri buluşturmaya yönelik </w:t>
      </w:r>
      <w:hyperlink r:id="rId27" w:history="1">
        <w:r>
          <w:rPr>
            <w:rStyle w:val="Kpr"/>
            <w:rFonts w:ascii="Times New Roman" w:hAnsi="Times New Roman" w:cs="Times New Roman"/>
          </w:rPr>
          <w:t>toplantılar düzenlenmiş</w:t>
        </w:r>
      </w:hyperlink>
      <w:r>
        <w:rPr>
          <w:rFonts w:ascii="Times New Roman" w:hAnsi="Times New Roman" w:cs="Times New Roman"/>
        </w:rPr>
        <w:t>; mezunların sektörel deneyimlerinin öğrencilere aktarılması sağlanmıştır. Mezunlarla kurumsal iletişimin sürdürülebilirliği çeşitli dijital iletişim araçları ve mezun bilgi sistemi üzerinden devam ettirilmektedir.</w:t>
      </w:r>
    </w:p>
    <w:p>
      <w:pPr>
        <w:rPr>
          <w:rFonts w:ascii="Times New Roman" w:hAnsi="Times New Roman" w:cs="Times New Roman"/>
          <w:b/>
          <w:bCs/>
        </w:rPr>
      </w:pPr>
      <w:r>
        <w:rPr>
          <w:rFonts w:ascii="Times New Roman" w:hAnsi="Times New Roman" w:cs="Times New Roman"/>
          <w:b/>
          <w:bCs/>
        </w:rPr>
        <w:t>A.4. Uluslararasılaşma</w:t>
      </w:r>
    </w:p>
    <w:p>
      <w:pPr>
        <w:jc w:val="both"/>
        <w:rPr>
          <w:rFonts w:ascii="Times New Roman" w:hAnsi="Times New Roman" w:cs="Times New Roman"/>
        </w:rPr>
      </w:pPr>
      <w:r>
        <w:rPr>
          <w:rFonts w:ascii="Times New Roman" w:hAnsi="Times New Roman" w:cs="Times New Roman"/>
        </w:rPr>
        <w:t>Uluslararasılaşma süreçleri üniversite koordinasyonunda yürütülmüş; 2025 yılında öğrenci hareketliliğinin sınırlı kaldığı, ancak uluslararasılaşma farkındalığının sürdürüldüğü değerlendirilmiştir.</w:t>
      </w:r>
    </w:p>
    <w:p>
      <w:pPr>
        <w:rPr>
          <w:rFonts w:ascii="Times New Roman" w:hAnsi="Times New Roman" w:cs="Times New Roman"/>
          <w:b/>
          <w:bCs/>
        </w:rPr>
      </w:pPr>
      <w:r>
        <w:rPr>
          <w:rFonts w:ascii="Times New Roman" w:hAnsi="Times New Roman" w:cs="Times New Roman"/>
          <w:b/>
          <w:bCs/>
        </w:rPr>
        <w:t>A.4.1. Uluslararasılaşma süreçlerinin yönetimi</w:t>
      </w:r>
    </w:p>
    <w:p>
      <w:pPr>
        <w:jc w:val="both"/>
        <w:rPr>
          <w:rFonts w:ascii="Times New Roman" w:hAnsi="Times New Roman" w:cs="Times New Roman"/>
        </w:rPr>
      </w:pPr>
      <w:r>
        <w:rPr>
          <w:rFonts w:ascii="Times New Roman" w:hAnsi="Times New Roman" w:cs="Times New Roman"/>
        </w:rPr>
        <w:t>Üniversitemizde uluslararasılaşma politikaları ve iş birlikleri, Dış İlişkiler Ofisi koordinasyonunda yürütülmektedir. Söz konusu yapı kapsamında Erasmus, Farabi ve Mevlâna değişim programları ile Uluslararası Öğrenci Ofisi faaliyetleri belirlenen koordinatörlükler aracılığıyla planlanmakta, uygulanmakta ve izlenmektedir. Yüksekokulumuzda uluslararasılaşma süreçleri üniversite düzeyinde tanımlanan politika ve uygulamalarla uyumlu biçimde sürdürülmektedir. 2025–2026 Eğitim-Öğretim Yılı Güz Yarıyılı itibariyle yüksekokulumuz bünyesinde yabancı uyruklu öğrenci bulunmamakla birlikte, olası uluslararası öğrenci kabulüne yönelik idari ve akademik süreçler kurumsal düzenlemeler çerçevesinde tanımlanmıştır. Bu kapsamda ilerleyen dönemlerde gerçekleşebilecek öğrenci hareketliliği ve kayıt süreçlerinin Uluslararası Ofis ile iş birliği içerisinde yürütülmesi planlanmaktadır. Böylece uluslararasılaşma süreçlerinin sürdürülebilir ve mevzuata uyumlu biçimde yönetilmesi güvence altına alınmıştır.</w:t>
      </w:r>
    </w:p>
    <w:p>
      <w:pPr>
        <w:jc w:val="both"/>
        <w:rPr>
          <w:rFonts w:ascii="Times New Roman" w:hAnsi="Times New Roman" w:cs="Times New Roman"/>
        </w:rPr>
      </w:pPr>
    </w:p>
    <w:p>
      <w:pPr>
        <w:rPr>
          <w:rFonts w:ascii="Times New Roman" w:hAnsi="Times New Roman" w:cs="Times New Roman"/>
          <w:b/>
          <w:bCs/>
        </w:rPr>
      </w:pPr>
      <w:r>
        <w:rPr>
          <w:rFonts w:ascii="Times New Roman" w:hAnsi="Times New Roman" w:cs="Times New Roman"/>
          <w:b/>
          <w:bCs/>
        </w:rPr>
        <w:t>A.4.2. Uluslararasılaşma kaynakları</w:t>
      </w:r>
    </w:p>
    <w:p>
      <w:pPr>
        <w:jc w:val="both"/>
        <w:rPr>
          <w:rFonts w:ascii="Times New Roman" w:hAnsi="Times New Roman" w:cs="Times New Roman"/>
        </w:rPr>
      </w:pPr>
      <w:r>
        <w:rPr>
          <w:rFonts w:ascii="Times New Roman" w:hAnsi="Times New Roman" w:cs="Times New Roman"/>
        </w:rPr>
        <w:t>Yüksekokulumuzda uluslararasılaşma faaliyetleri, üniversitemizin değişim programları ve kurumsal iş birliği mekanizmaları aracılığıyla desteklenmektedir. 2025 yılı içerisinde Erasmus öğrenci hareketliliği kapsamında giden öğrenci bulunmamakla birlikte, uluslararasılaşma farkındalığının artırılmasına yönelik bilgilendirme ve yönlendirme çalışmaları sürdürülmüştür. Erasmus Personel Hareketliliği kapsamında önceki yıllarda iki öğretim elemanımızın Almanya ve Fransa’da eğitim alma faaliyetlerine katılmış olması, birimde uluslararası akademik etkileşim kültürüne katkı sağlamıştır. Bu deneyimlerin kurumsal hafızaya aktarılması ve gelecekteki hareketlilik faaliyetlerine referans oluşturması amaçlanmaktadır. Uluslararasılaşma kaynaklarının etkin kullanımı ve hareketlilik katılımının artırılması, izleme sonuçları doğrultusunda geliştirmeye açık alan olarak değerlendirilmektedir.</w:t>
      </w:r>
    </w:p>
    <w:p>
      <w:pPr>
        <w:rPr>
          <w:rFonts w:ascii="Times New Roman" w:hAnsi="Times New Roman" w:cs="Times New Roman"/>
          <w:b/>
          <w:bCs/>
        </w:rPr>
      </w:pPr>
      <w:r>
        <w:rPr>
          <w:rFonts w:ascii="Times New Roman" w:hAnsi="Times New Roman" w:cs="Times New Roman"/>
          <w:b/>
          <w:bCs/>
        </w:rPr>
        <w:t>A.4.3. Uluslararasılaşma performansı</w:t>
      </w:r>
    </w:p>
    <w:p>
      <w:pPr>
        <w:jc w:val="both"/>
        <w:rPr>
          <w:rFonts w:ascii="Times New Roman" w:hAnsi="Times New Roman" w:cs="Times New Roman"/>
        </w:rPr>
      </w:pPr>
      <w:r>
        <w:rPr>
          <w:rFonts w:ascii="Times New Roman" w:hAnsi="Times New Roman" w:cs="Times New Roman"/>
        </w:rPr>
        <w:t>Uluslararasılaşma performansı, üniversite düzeyinde Dış İlişkiler Ofisi tarafından izlenmekte ve değerlendirilmektedir. Yüksekokulumuz özelinde 2025 yılı itibariyle öğrenci hareketliliği gerçekleşmemiş olmakla birlikte, uluslararasılaşma süreçlerine kurumsal uyum ve hazırlık çalışmaları sürdürülmektedir. Personel hareketliliği yoluyla elde edilen deneyimlerin akademik ve kurumsal gelişime katkı sunduğu değerlendirilmektedir. Önümüzdeki dönemlerde öğrenci hareketliliğinin teşvik edilmesi, uluslararası iş birliklerinin çeşitlendirilmesi ve performans göstergelerinin niceliksel olarak güçlendirilmesi hedeflenmektedir. Bu doğrultuda uluslararasılaşma performansının PUKÖ döngüsü kapsamında planlama, uygulama ve iyileştirme adımlarıyla geliştirilmesi öngörülmektedir.</w:t>
      </w:r>
    </w:p>
    <w:p>
      <w:pPr>
        <w:rPr>
          <w:rFonts w:ascii="Times New Roman" w:hAnsi="Times New Roman" w:cs="Times New Roman"/>
          <w:b/>
          <w:bCs/>
        </w:rPr>
      </w:pPr>
      <w:r>
        <w:rPr>
          <w:rFonts w:ascii="Times New Roman" w:hAnsi="Times New Roman" w:cs="Times New Roman"/>
          <w:b/>
          <w:bCs/>
        </w:rPr>
        <w:t xml:space="preserve">Güçlü Yönler </w:t>
      </w:r>
    </w:p>
    <w:p>
      <w:pPr>
        <w:numPr>
          <w:ilvl w:val="0"/>
          <w:numId w:val="1"/>
        </w:numPr>
        <w:jc w:val="both"/>
        <w:rPr>
          <w:rFonts w:ascii="Times New Roman" w:hAnsi="Times New Roman" w:cs="Times New Roman"/>
        </w:rPr>
      </w:pPr>
      <w:r>
        <w:rPr>
          <w:rFonts w:ascii="Times New Roman" w:hAnsi="Times New Roman" w:cs="Times New Roman"/>
        </w:rPr>
        <w:t>Yüksekokulun Giresun Üniversitesi Yönetim Sistemi Politikası ile uyumlu, şeffaflık, hesap verebilirlik ve veri güvenliği odaklı yönetim anlayışını benimsemiş olması</w:t>
      </w:r>
    </w:p>
    <w:p>
      <w:pPr>
        <w:numPr>
          <w:ilvl w:val="0"/>
          <w:numId w:val="1"/>
        </w:numPr>
        <w:jc w:val="both"/>
        <w:rPr>
          <w:rFonts w:ascii="Times New Roman" w:hAnsi="Times New Roman" w:cs="Times New Roman"/>
        </w:rPr>
      </w:pPr>
      <w:r>
        <w:rPr>
          <w:rFonts w:ascii="Times New Roman" w:hAnsi="Times New Roman" w:cs="Times New Roman"/>
        </w:rPr>
        <w:t>Karar alma, yazışma ve bilgilendirme süreçlerinin EBYS ve dijital platformlar aracılığıyla kanıt temelli ve izlenebilir biçimde yürütülmesi</w:t>
      </w:r>
    </w:p>
    <w:p>
      <w:pPr>
        <w:numPr>
          <w:ilvl w:val="0"/>
          <w:numId w:val="1"/>
        </w:numPr>
        <w:jc w:val="both"/>
        <w:rPr>
          <w:rFonts w:ascii="Times New Roman" w:hAnsi="Times New Roman" w:cs="Times New Roman"/>
        </w:rPr>
      </w:pPr>
      <w:r>
        <w:rPr>
          <w:rFonts w:ascii="Times New Roman" w:hAnsi="Times New Roman" w:cs="Times New Roman"/>
        </w:rPr>
        <w:t>Kalite güvencesi, risk yönetimi ve akreditasyon odaklı komisyon yapılanmalarının kurulmuş, görev ve sorumluluk alanlarının netleştirilmiş ve 2025 yılında işlevselliğinin artırılmış olması</w:t>
      </w:r>
    </w:p>
    <w:p>
      <w:pPr>
        <w:numPr>
          <w:ilvl w:val="0"/>
          <w:numId w:val="1"/>
        </w:numPr>
        <w:jc w:val="both"/>
        <w:rPr>
          <w:rFonts w:ascii="Times New Roman" w:hAnsi="Times New Roman" w:cs="Times New Roman"/>
        </w:rPr>
      </w:pPr>
      <w:r>
        <w:rPr>
          <w:rFonts w:ascii="Times New Roman" w:hAnsi="Times New Roman" w:cs="Times New Roman"/>
        </w:rPr>
        <w:t>Komisyon ve koordinatörlük yapılanmalarının eğitim-öğretim, dijitalleşme, öğrenci destek hizmetleri, paydaş ilişkileri ve kaynak yönetimi alanlarını kapsayacak şekilde genişletilmesi</w:t>
      </w:r>
    </w:p>
    <w:p>
      <w:pPr>
        <w:numPr>
          <w:ilvl w:val="0"/>
          <w:numId w:val="1"/>
        </w:numPr>
        <w:jc w:val="both"/>
        <w:rPr>
          <w:rFonts w:ascii="Times New Roman" w:hAnsi="Times New Roman" w:cs="Times New Roman"/>
        </w:rPr>
      </w:pPr>
      <w:r>
        <w:rPr>
          <w:rFonts w:ascii="Times New Roman" w:hAnsi="Times New Roman" w:cs="Times New Roman"/>
        </w:rPr>
        <w:t>Organizasyon şemalarının ve kurumsal yapı bilgilerinin web sitesi üzerinden kamuoyu ile paylaşılması yoluyla yönetişimde şeffaflık ve hesap verebilirlik uygulamalarının güçlendirilmesi</w:t>
      </w:r>
    </w:p>
    <w:p>
      <w:pPr>
        <w:numPr>
          <w:ilvl w:val="0"/>
          <w:numId w:val="1"/>
        </w:numPr>
        <w:jc w:val="both"/>
        <w:rPr>
          <w:rFonts w:ascii="Times New Roman" w:hAnsi="Times New Roman" w:cs="Times New Roman"/>
        </w:rPr>
      </w:pPr>
      <w:r>
        <w:rPr>
          <w:rFonts w:ascii="Times New Roman" w:hAnsi="Times New Roman" w:cs="Times New Roman"/>
        </w:rPr>
        <w:lastRenderedPageBreak/>
        <w:t>Liderlik yaklaşımının kalite güvencesi sistemi, performans izleme, risk yönetimi ve sürekli iyileştirme kültürü ile bütünleşik biçimde sürdürülmesi</w:t>
      </w:r>
    </w:p>
    <w:p>
      <w:pPr>
        <w:numPr>
          <w:ilvl w:val="0"/>
          <w:numId w:val="1"/>
        </w:numPr>
        <w:jc w:val="both"/>
        <w:rPr>
          <w:rFonts w:ascii="Times New Roman" w:hAnsi="Times New Roman" w:cs="Times New Roman"/>
        </w:rPr>
      </w:pPr>
      <w:r>
        <w:rPr>
          <w:rFonts w:ascii="Times New Roman" w:hAnsi="Times New Roman" w:cs="Times New Roman"/>
        </w:rPr>
        <w:t>PUKÖ döngüsünün planlama ve uygulama düzeyinden kontrol ve iyileştirme aşamalarına doğru kurumsal gelişim göstermesi</w:t>
      </w:r>
    </w:p>
    <w:p>
      <w:pPr>
        <w:numPr>
          <w:ilvl w:val="0"/>
          <w:numId w:val="1"/>
        </w:numPr>
        <w:jc w:val="both"/>
        <w:rPr>
          <w:rFonts w:ascii="Times New Roman" w:hAnsi="Times New Roman" w:cs="Times New Roman"/>
        </w:rPr>
      </w:pPr>
      <w:r>
        <w:rPr>
          <w:rFonts w:ascii="Times New Roman" w:hAnsi="Times New Roman" w:cs="Times New Roman"/>
        </w:rPr>
        <w:t>Kurumsal dönüşüm kapasitesi kapsamında program açma, program çeşitliliğini artırma ve program dönüşüm süreçlerinin stratejik bakış açısıyla yönetilmesi</w:t>
      </w:r>
    </w:p>
    <w:p>
      <w:pPr>
        <w:numPr>
          <w:ilvl w:val="0"/>
          <w:numId w:val="1"/>
        </w:numPr>
        <w:jc w:val="both"/>
        <w:rPr>
          <w:rFonts w:ascii="Times New Roman" w:hAnsi="Times New Roman" w:cs="Times New Roman"/>
        </w:rPr>
      </w:pPr>
      <w:r>
        <w:rPr>
          <w:rFonts w:ascii="Times New Roman" w:hAnsi="Times New Roman" w:cs="Times New Roman"/>
        </w:rPr>
        <w:t>İç kalite güvencesi mekanizmalarının faaliyet raporu, veri toplama ve izleme uygulamaları ile desteklenmesi</w:t>
      </w:r>
    </w:p>
    <w:p>
      <w:pPr>
        <w:numPr>
          <w:ilvl w:val="0"/>
          <w:numId w:val="1"/>
        </w:numPr>
        <w:jc w:val="both"/>
        <w:rPr>
          <w:rFonts w:ascii="Times New Roman" w:hAnsi="Times New Roman" w:cs="Times New Roman"/>
        </w:rPr>
      </w:pPr>
      <w:r>
        <w:rPr>
          <w:rFonts w:ascii="Times New Roman" w:hAnsi="Times New Roman" w:cs="Times New Roman"/>
        </w:rPr>
        <w:t>Öğrenci kalite temsilciliği uygulamasının başlatılması ile kalite süreçlerinde katılımcılığın artırılması</w:t>
      </w:r>
    </w:p>
    <w:p>
      <w:pPr>
        <w:numPr>
          <w:ilvl w:val="0"/>
          <w:numId w:val="1"/>
        </w:numPr>
        <w:jc w:val="both"/>
        <w:rPr>
          <w:rFonts w:ascii="Times New Roman" w:hAnsi="Times New Roman" w:cs="Times New Roman"/>
        </w:rPr>
      </w:pPr>
      <w:r>
        <w:rPr>
          <w:rFonts w:ascii="Times New Roman" w:hAnsi="Times New Roman" w:cs="Times New Roman"/>
        </w:rPr>
        <w:t>Stratejik amaç ve hedeflerin Üniversitenin 2025–2029 Stratejik Planı ile uyumlu biçimde sürdürülmesi ve performans göstergelerinin GUYBİS sistemi aracılığıyla izlenmesi</w:t>
      </w:r>
    </w:p>
    <w:p>
      <w:pPr>
        <w:numPr>
          <w:ilvl w:val="0"/>
          <w:numId w:val="1"/>
        </w:numPr>
        <w:jc w:val="both"/>
        <w:rPr>
          <w:rFonts w:ascii="Times New Roman" w:hAnsi="Times New Roman" w:cs="Times New Roman"/>
        </w:rPr>
      </w:pPr>
      <w:r>
        <w:rPr>
          <w:rFonts w:ascii="Times New Roman" w:hAnsi="Times New Roman" w:cs="Times New Roman"/>
        </w:rPr>
        <w:t>Süreç yönetimi, iş akış şemaları ve dokümantasyon çalışmalarının başlatılmış ve 2025 yılında kapsamının genişletilmiş olması</w:t>
      </w:r>
    </w:p>
    <w:p>
      <w:pPr>
        <w:numPr>
          <w:ilvl w:val="0"/>
          <w:numId w:val="1"/>
        </w:numPr>
        <w:jc w:val="both"/>
        <w:rPr>
          <w:rFonts w:ascii="Times New Roman" w:hAnsi="Times New Roman" w:cs="Times New Roman"/>
        </w:rPr>
      </w:pPr>
      <w:r>
        <w:rPr>
          <w:rFonts w:ascii="Times New Roman" w:hAnsi="Times New Roman" w:cs="Times New Roman"/>
        </w:rPr>
        <w:t>Mezun bilgi sistemi aracılığıyla mezun verilerinin izlenmesi ve mezun–öğrenci etkileşimini destekleyen faaliyetlerin sürdürülmesi</w:t>
      </w:r>
    </w:p>
    <w:p>
      <w:pPr>
        <w:numPr>
          <w:ilvl w:val="0"/>
          <w:numId w:val="1"/>
        </w:numPr>
        <w:jc w:val="both"/>
        <w:rPr>
          <w:rFonts w:ascii="Times New Roman" w:hAnsi="Times New Roman" w:cs="Times New Roman"/>
        </w:rPr>
      </w:pPr>
      <w:r>
        <w:rPr>
          <w:rFonts w:ascii="Times New Roman" w:hAnsi="Times New Roman" w:cs="Times New Roman"/>
        </w:rPr>
        <w:t>Uluslararasılaşma süreçlerinde üniversite politikaları ile uyumlu kurumsal yaklaşımın benimsenmiş ve idari hazırlıkların tanımlanmış olması</w:t>
      </w:r>
    </w:p>
    <w:p>
      <w:pPr>
        <w:jc w:val="both"/>
        <w:rPr>
          <w:rFonts w:ascii="Times New Roman" w:hAnsi="Times New Roman" w:cs="Times New Roman"/>
          <w:b/>
          <w:bCs/>
        </w:rPr>
      </w:pPr>
      <w:r>
        <w:rPr>
          <w:rFonts w:ascii="Times New Roman" w:hAnsi="Times New Roman" w:cs="Times New Roman"/>
          <w:b/>
          <w:bCs/>
        </w:rPr>
        <w:t xml:space="preserve">Gelişmeye Açık Yönler </w:t>
      </w:r>
    </w:p>
    <w:p>
      <w:pPr>
        <w:numPr>
          <w:ilvl w:val="0"/>
          <w:numId w:val="2"/>
        </w:numPr>
        <w:jc w:val="both"/>
        <w:rPr>
          <w:rFonts w:ascii="Times New Roman" w:hAnsi="Times New Roman" w:cs="Times New Roman"/>
        </w:rPr>
      </w:pPr>
      <w:r>
        <w:rPr>
          <w:rFonts w:ascii="Times New Roman" w:hAnsi="Times New Roman" w:cs="Times New Roman"/>
        </w:rPr>
        <w:t xml:space="preserve">PUKÖ döngüsünün özellikle </w:t>
      </w:r>
      <w:r>
        <w:rPr>
          <w:rFonts w:ascii="Times New Roman" w:hAnsi="Times New Roman" w:cs="Times New Roman"/>
          <w:b/>
          <w:bCs/>
        </w:rPr>
        <w:t>kontrol ve önlem alma</w:t>
      </w:r>
      <w:r>
        <w:rPr>
          <w:rFonts w:ascii="Times New Roman" w:hAnsi="Times New Roman" w:cs="Times New Roman"/>
        </w:rPr>
        <w:t xml:space="preserve"> aşamalarında ölçülebilir performans göstergeleri ve sistematik değerlendirme araçları ile daha güçlü desteklenmesi</w:t>
      </w:r>
    </w:p>
    <w:p>
      <w:pPr>
        <w:numPr>
          <w:ilvl w:val="0"/>
          <w:numId w:val="2"/>
        </w:numPr>
        <w:jc w:val="both"/>
        <w:rPr>
          <w:rFonts w:ascii="Times New Roman" w:hAnsi="Times New Roman" w:cs="Times New Roman"/>
        </w:rPr>
      </w:pPr>
      <w:r>
        <w:rPr>
          <w:rFonts w:ascii="Times New Roman" w:hAnsi="Times New Roman" w:cs="Times New Roman"/>
        </w:rPr>
        <w:t>Risk yönetimi çıktılarının karar alma, stratejik planlama ve iyileştirme süreçlerine daha görünür ve düzenli entegrasyonunun sağlanması</w:t>
      </w:r>
    </w:p>
    <w:p>
      <w:pPr>
        <w:numPr>
          <w:ilvl w:val="0"/>
          <w:numId w:val="2"/>
        </w:numPr>
        <w:jc w:val="both"/>
        <w:rPr>
          <w:rFonts w:ascii="Times New Roman" w:hAnsi="Times New Roman" w:cs="Times New Roman"/>
        </w:rPr>
      </w:pPr>
      <w:r>
        <w:rPr>
          <w:rFonts w:ascii="Times New Roman" w:hAnsi="Times New Roman" w:cs="Times New Roman"/>
        </w:rPr>
        <w:t>Süreç yönetimi kapsamında tüm iş akışlarının tamamlanarak yazılılaştırılması ve kurumsal web ortamında yayımlanması</w:t>
      </w:r>
    </w:p>
    <w:p>
      <w:pPr>
        <w:numPr>
          <w:ilvl w:val="0"/>
          <w:numId w:val="2"/>
        </w:numPr>
        <w:jc w:val="both"/>
        <w:rPr>
          <w:rFonts w:ascii="Times New Roman" w:hAnsi="Times New Roman" w:cs="Times New Roman"/>
        </w:rPr>
      </w:pPr>
      <w:r>
        <w:rPr>
          <w:rFonts w:ascii="Times New Roman" w:hAnsi="Times New Roman" w:cs="Times New Roman"/>
        </w:rPr>
        <w:t>Paydaş katılım mekanizmalarının düzenli toplantılar, odak grup görüşmeleri ve kayıtlı geri bildirim sistemleri ile daha yapılandırılmış hale getirilmesi</w:t>
      </w:r>
    </w:p>
    <w:p>
      <w:pPr>
        <w:numPr>
          <w:ilvl w:val="0"/>
          <w:numId w:val="2"/>
        </w:numPr>
        <w:jc w:val="both"/>
        <w:rPr>
          <w:rFonts w:ascii="Times New Roman" w:hAnsi="Times New Roman" w:cs="Times New Roman"/>
        </w:rPr>
      </w:pPr>
      <w:r>
        <w:rPr>
          <w:rFonts w:ascii="Times New Roman" w:hAnsi="Times New Roman" w:cs="Times New Roman"/>
        </w:rPr>
        <w:t>Danışma Kurulu yapılanmasının aktif işletilmesi ve paydaş görüşlerinin karar süreçlerine sistematik yansıtılması</w:t>
      </w:r>
    </w:p>
    <w:p>
      <w:pPr>
        <w:numPr>
          <w:ilvl w:val="0"/>
          <w:numId w:val="2"/>
        </w:numPr>
        <w:jc w:val="both"/>
        <w:rPr>
          <w:rFonts w:ascii="Times New Roman" w:hAnsi="Times New Roman" w:cs="Times New Roman"/>
        </w:rPr>
      </w:pPr>
      <w:r>
        <w:rPr>
          <w:rFonts w:ascii="Times New Roman" w:hAnsi="Times New Roman" w:cs="Times New Roman"/>
        </w:rPr>
        <w:t>Öğrenci geri bildirim araçlarının çeşitlendirilmesi ve geri bildirim sonuçlarının kalite iyileştirme süreçlerinde daha görünür hale getirilmesi</w:t>
      </w:r>
    </w:p>
    <w:p>
      <w:pPr>
        <w:numPr>
          <w:ilvl w:val="0"/>
          <w:numId w:val="2"/>
        </w:numPr>
        <w:jc w:val="both"/>
        <w:rPr>
          <w:rFonts w:ascii="Times New Roman" w:hAnsi="Times New Roman" w:cs="Times New Roman"/>
        </w:rPr>
      </w:pPr>
      <w:r>
        <w:rPr>
          <w:rFonts w:ascii="Times New Roman" w:hAnsi="Times New Roman" w:cs="Times New Roman"/>
        </w:rPr>
        <w:t>Mezun geri bildirimlerinin eğitim-öğretim ve program iyileştirme süreçlerine sistematik entegrasyonu</w:t>
      </w:r>
    </w:p>
    <w:p>
      <w:pPr>
        <w:numPr>
          <w:ilvl w:val="0"/>
          <w:numId w:val="2"/>
        </w:numPr>
        <w:jc w:val="both"/>
        <w:rPr>
          <w:rFonts w:ascii="Times New Roman" w:hAnsi="Times New Roman" w:cs="Times New Roman"/>
        </w:rPr>
      </w:pPr>
      <w:r>
        <w:rPr>
          <w:rFonts w:ascii="Times New Roman" w:hAnsi="Times New Roman" w:cs="Times New Roman"/>
        </w:rPr>
        <w:lastRenderedPageBreak/>
        <w:t>Uluslararasılaşma performansının öğrenci hareketliliği ve uluslararası iş birlikleri boyutunda geliştirilmesi</w:t>
      </w:r>
    </w:p>
    <w:p>
      <w:pPr>
        <w:numPr>
          <w:ilvl w:val="0"/>
          <w:numId w:val="2"/>
        </w:numPr>
        <w:jc w:val="both"/>
        <w:rPr>
          <w:rFonts w:ascii="Times New Roman" w:hAnsi="Times New Roman" w:cs="Times New Roman"/>
        </w:rPr>
      </w:pPr>
      <w:r>
        <w:rPr>
          <w:rFonts w:ascii="Times New Roman" w:hAnsi="Times New Roman" w:cs="Times New Roman"/>
        </w:rPr>
        <w:t>Erasmus ve diğer değişim programlarına katılımı artırmaya yönelik teşvik ve yönlendirme mekanizmalarının güçlendirilmesi</w:t>
      </w:r>
    </w:p>
    <w:p>
      <w:pPr>
        <w:numPr>
          <w:ilvl w:val="0"/>
          <w:numId w:val="2"/>
        </w:numPr>
        <w:jc w:val="both"/>
        <w:rPr>
          <w:rFonts w:ascii="Times New Roman" w:hAnsi="Times New Roman" w:cs="Times New Roman"/>
        </w:rPr>
      </w:pPr>
      <w:r>
        <w:rPr>
          <w:rFonts w:ascii="Times New Roman" w:hAnsi="Times New Roman" w:cs="Times New Roman"/>
        </w:rPr>
        <w:t>Performans yönetimi süreçlerinde çıktı ve etki odaklı değerlendirme kültürünün kurumsal düzeyde daha sistematik hale getirilmesi</w:t>
      </w:r>
    </w:p>
    <w:p>
      <w:pPr>
        <w:rPr>
          <w:rFonts w:ascii="Times New Roman" w:hAnsi="Times New Roman" w:cs="Times New Roman"/>
          <w:b/>
          <w:bCs/>
        </w:rPr>
      </w:pPr>
      <w:r>
        <w:rPr>
          <w:rFonts w:ascii="Times New Roman" w:hAnsi="Times New Roman" w:cs="Times New Roman"/>
          <w:b/>
          <w:bCs/>
        </w:rPr>
        <w:t>B. Eğitim ve Öğretim</w:t>
      </w:r>
    </w:p>
    <w:p>
      <w:pPr>
        <w:rPr>
          <w:rFonts w:ascii="Times New Roman" w:hAnsi="Times New Roman" w:cs="Times New Roman"/>
          <w:b/>
          <w:bCs/>
        </w:rPr>
      </w:pPr>
      <w:r>
        <w:rPr>
          <w:rFonts w:ascii="Times New Roman" w:hAnsi="Times New Roman" w:cs="Times New Roman"/>
          <w:b/>
          <w:bCs/>
        </w:rPr>
        <w:t>B.1. Program Tasarımı, Değerlendirilmesi ve Güncellenmesi</w:t>
      </w:r>
    </w:p>
    <w:p>
      <w:pPr>
        <w:rPr>
          <w:rFonts w:ascii="Times New Roman" w:hAnsi="Times New Roman" w:cs="Times New Roman"/>
        </w:rPr>
      </w:pPr>
      <w:r>
        <w:rPr>
          <w:rFonts w:ascii="Times New Roman" w:hAnsi="Times New Roman" w:cs="Times New Roman"/>
          <w:b/>
          <w:bCs/>
        </w:rPr>
        <w:t>B.1.1. Programların Tasarımı ve Onayı</w:t>
      </w:r>
    </w:p>
    <w:p>
      <w:pPr>
        <w:jc w:val="both"/>
        <w:rPr>
          <w:rFonts w:ascii="Times New Roman" w:hAnsi="Times New Roman" w:cs="Times New Roman"/>
        </w:rPr>
      </w:pPr>
      <w:r>
        <w:rPr>
          <w:rFonts w:ascii="Times New Roman" w:hAnsi="Times New Roman" w:cs="Times New Roman"/>
        </w:rPr>
        <w:t xml:space="preserve">Yüksekokulumuzda programların tasarımı ve onaylanması süreci, yükseköğretimde kalite güvencesi anlayışı doğrultusunda; ulusal ve uluslararası kalite standartları, kalkınma planları, bölgesel ihtiyaçlar ve sektör beklentileri dikkate alınarak sistematik biçimde yürütülmektedir. Yeni bölüm ve program açılmasına ilişkin öneriler öncelikle Yüksekokul Kurulunda görüşülmekte, uygun bulunan teklifler Üniversitemiz MYO Koordinatörlüğüne iletilmekte; burada yapılan değerlendirmelerin ardından Üniversite Senatosu kararıyla Yükseköğretim Kurulu’na sunulmaktadır. Bu süreç, ilgili mevzuat ve kurumsal işleyiş çerçevesinde şeffaf ve izlenebilir bir yapı içerisinde gerçekleştirilmektedir </w:t>
      </w:r>
      <w:hyperlink w:anchor="YÜKSOKULKURULKANIT12" w:history="1">
        <w:r>
          <w:rPr>
            <w:rStyle w:val="Kpr"/>
            <w:rFonts w:ascii="Times New Roman" w:hAnsi="Times New Roman" w:cs="Times New Roman"/>
          </w:rPr>
          <w:t>(Kanıt 12)</w:t>
        </w:r>
      </w:hyperlink>
      <w:r>
        <w:rPr>
          <w:rFonts w:ascii="Times New Roman" w:hAnsi="Times New Roman" w:cs="Times New Roman"/>
        </w:rPr>
        <w:t>.</w:t>
      </w:r>
    </w:p>
    <w:p>
      <w:pPr>
        <w:jc w:val="both"/>
        <w:rPr>
          <w:rFonts w:ascii="Times New Roman" w:hAnsi="Times New Roman" w:cs="Times New Roman"/>
        </w:rPr>
      </w:pPr>
      <w:r>
        <w:rPr>
          <w:rFonts w:ascii="Times New Roman" w:hAnsi="Times New Roman" w:cs="Times New Roman"/>
        </w:rPr>
        <w:t xml:space="preserve">Mevcut programların amaç ve hedeflerinin güncellenmesi ve kalite süreçleriyle bütünleştirilmesi amacıyla 2024 yılında planlanan paydaş katılımlı değerlendirme çalışmaları, 2025 yılında programların büyük bir bölümünde hayata geçirilmiş; akademik personel, öğrenciler, mezunlar, işverenler ve diğer dış paydaşların görüşleri sürece dâhil edilmiştir. Belirlenen program amaç ve hedefleri üniversitemiz stratejik planı ile uyumlu hale getirilmiş olup, mezunların sektörel yeterliliklerini artırmaya yönelik olarak 2025-2026 eğitim-öğretim yılı güz döneminde staja gönderilecek öğrencilerden ve ilgili iş yerlerinden alınacak geri bildirimler yoluyla izleme ve değerlendirme yapılması planlanmaktadır </w:t>
      </w:r>
      <w:hyperlink w:anchor="KANIT13" w:history="1">
        <w:r>
          <w:rPr>
            <w:rStyle w:val="Kpr"/>
            <w:rFonts w:ascii="Times New Roman" w:hAnsi="Times New Roman" w:cs="Times New Roman"/>
          </w:rPr>
          <w:t>(Kanıt 13).</w:t>
        </w:r>
      </w:hyperlink>
      <w:r>
        <w:rPr>
          <w:rFonts w:ascii="Times New Roman" w:hAnsi="Times New Roman" w:cs="Times New Roman"/>
        </w:rPr>
        <w:tab/>
      </w:r>
    </w:p>
    <w:p>
      <w:pPr>
        <w:jc w:val="both"/>
        <w:rPr>
          <w:rFonts w:ascii="Times New Roman" w:hAnsi="Times New Roman" w:cs="Times New Roman"/>
        </w:rPr>
      </w:pPr>
      <w:r>
        <w:rPr>
          <w:rFonts w:ascii="Times New Roman" w:hAnsi="Times New Roman" w:cs="Times New Roman"/>
        </w:rPr>
        <w:t xml:space="preserve">Paydaş geri bildirimleri doğrultusunda programların iş gücü piyasası beklentilerini karşılama düzeyi analiz edilerek müfredat ve ders içeriklerinin güncellenmesine yönelik iyileştirme çalışmaları yürütülecektir. Müfredat yenileme süreçleri bölüm kurulları ve akademik kurullar tarafından düzenli aralıklarla değerlendirilmekte; yeni seçmeli ve zorunlu ders önerileri Birim Kalite Komisyonu tarafından incelenerek Yüksekokul Kuruluna sunulmaktadır </w:t>
      </w:r>
      <w:hyperlink w:anchor="KANIT14" w:history="1">
        <w:r>
          <w:rPr>
            <w:rStyle w:val="Kpr"/>
            <w:rFonts w:ascii="Times New Roman" w:hAnsi="Times New Roman" w:cs="Times New Roman"/>
          </w:rPr>
          <w:t>(Kanıt 14).</w:t>
        </w:r>
      </w:hyperlink>
    </w:p>
    <w:p>
      <w:pPr>
        <w:jc w:val="both"/>
        <w:rPr>
          <w:rFonts w:ascii="Times New Roman" w:hAnsi="Times New Roman" w:cs="Times New Roman"/>
        </w:rPr>
      </w:pPr>
      <w:r>
        <w:rPr>
          <w:rFonts w:ascii="Times New Roman" w:hAnsi="Times New Roman" w:cs="Times New Roman"/>
        </w:rPr>
        <w:t xml:space="preserve">Ayrıca, ön lisans programlarında yapılacak ders, içerik, kredi ve staj uygulamalarına ilişkin değişikliklerde ilgili kurullar ile iş birliği yapılmakta; ulusal ve uluslararası örnekler incelenerek programların sürdürülebilirliği ve sürekli iyileştirilmesi hedeflenmektedir. 2026 yılı itibarıyla program tasarımı ve onay süreçlerine ilişkin izleme ve değerlendirme mekanizmalarının kalite güvence sistemi kapsamında daha sistematik hale getirilmesi planlanmaktadır </w:t>
      </w:r>
      <w:hyperlink w:anchor="KANIT14" w:history="1">
        <w:r>
          <w:rPr>
            <w:rStyle w:val="Kpr"/>
            <w:rFonts w:ascii="Times New Roman" w:hAnsi="Times New Roman" w:cs="Times New Roman"/>
          </w:rPr>
          <w:t>(Kanıt 14,</w:t>
        </w:r>
      </w:hyperlink>
      <w:r>
        <w:rPr>
          <w:rFonts w:ascii="Times New Roman" w:hAnsi="Times New Roman" w:cs="Times New Roman"/>
        </w:rPr>
        <w:t xml:space="preserve"> </w:t>
      </w:r>
      <w:hyperlink w:anchor="KANIT15" w:history="1">
        <w:r>
          <w:rPr>
            <w:rStyle w:val="Kpr"/>
            <w:rFonts w:ascii="Times New Roman" w:hAnsi="Times New Roman" w:cs="Times New Roman"/>
          </w:rPr>
          <w:t>Kanıt 15).</w:t>
        </w:r>
      </w:hyperlink>
    </w:p>
    <w:p>
      <w:pPr>
        <w:rPr>
          <w:rFonts w:ascii="Times New Roman" w:hAnsi="Times New Roman" w:cs="Times New Roman"/>
        </w:rPr>
      </w:pPr>
      <w:r>
        <w:rPr>
          <w:rFonts w:ascii="Times New Roman" w:hAnsi="Times New Roman" w:cs="Times New Roman"/>
          <w:b/>
          <w:bCs/>
        </w:rPr>
        <w:t>B.1.2. Programın Ders Dağılım Dengesi</w:t>
      </w:r>
    </w:p>
    <w:p>
      <w:pPr>
        <w:jc w:val="both"/>
        <w:rPr>
          <w:rFonts w:ascii="Times New Roman" w:hAnsi="Times New Roman" w:cs="Times New Roman"/>
        </w:rPr>
      </w:pPr>
      <w:r>
        <w:rPr>
          <w:rFonts w:ascii="Times New Roman" w:hAnsi="Times New Roman" w:cs="Times New Roman"/>
        </w:rPr>
        <w:lastRenderedPageBreak/>
        <w:t xml:space="preserve">Yüksekokulumuzda yürütülen programların ders dağılımı; öğrencilerin akademik gelişimlerini desteklemek, mesleki yeterliliklerini artırmak ve mezuniyet sonrası iş dünyasına uyumlarını kolaylaştırmak amacıyla dengeli ve bütüncül bir anlayışla yapılandırılmaktadır.   Programlarımızda ders dağılımlarına ilişkin en temel belirleyici unsur, bölüm kurulları tarafından akademik deneyim ve alan uzmanlığı esas alınarak yapılan değerlendirmelerdir. Derslerin kuramsal ve uygulamalı içerikleri, öğretim elemanlarının akademik birikimi, sektörel deneyimi ve dersin öğrenme çıktıları dikkate alınarak bölüm kurullarında görüşülmekte ve karara bağlanmaktadır. Bu yaklaşım, derslerin niteliğinin artırılmasına, eğitim-öğretim faaliyetlerinin etkinliğinin güçlendirilmesine ve program çıktılarının tutarlılığının sağlanmasına katkı sunmaktadır. Ders dağılımlarının bölüm kurulları aracılığıyla gerçekleştirilmesi, karar süreçlerinin katılımcı, şeffaf ve izlenebilir bir yapıda yürütülmesini sağlamakta; aynı zamanda akademik kadronun program sahipliğini ve sorumluluk bilincini güçlendirmektedir. Alınan kararlar ilgili kurul tutanaklarıyla kayıt altına alınmakta ve kalite güvence sistemi kapsamında izlenmektedir </w:t>
      </w:r>
      <w:hyperlink w:anchor="KANIT16" w:history="1">
        <w:r>
          <w:rPr>
            <w:rStyle w:val="Kpr"/>
            <w:rFonts w:ascii="Times New Roman" w:hAnsi="Times New Roman" w:cs="Times New Roman"/>
          </w:rPr>
          <w:t>(Kanıt 16).</w:t>
        </w:r>
      </w:hyperlink>
    </w:p>
    <w:p>
      <w:pPr>
        <w:jc w:val="both"/>
        <w:rPr>
          <w:rFonts w:ascii="Times New Roman" w:hAnsi="Times New Roman" w:cs="Times New Roman"/>
        </w:rPr>
      </w:pPr>
      <w:r>
        <w:rPr>
          <w:rFonts w:ascii="Times New Roman" w:hAnsi="Times New Roman" w:cs="Times New Roman"/>
        </w:rPr>
        <w:t xml:space="preserve">Ders planlarının oluşturulmasında kuramsal ve uygulamalı ders dengesi, zorunlu ve seçmeli ders oranları, AKTS uyumluluğu ve mezuniyet koşulları esas alınmakta; bu kapsamda programlarda öğrencilerin hem teorik altyapılarını güçlendiren hem de uygulama becerilerini geliştiren bir yapı benimsenmektedir. </w:t>
      </w:r>
    </w:p>
    <w:p>
      <w:pPr>
        <w:jc w:val="both"/>
        <w:rPr>
          <w:rFonts w:ascii="Times New Roman" w:hAnsi="Times New Roman" w:cs="Times New Roman"/>
        </w:rPr>
      </w:pPr>
      <w:r>
        <w:rPr>
          <w:rFonts w:ascii="Times New Roman" w:hAnsi="Times New Roman" w:cs="Times New Roman"/>
        </w:rPr>
        <w:t>Uygulamalı derslerin etkinliğini artırmak ve öğrencilerin mesleki bilgi ve becerilerini gerçek iş ortamlarıyla ilişkilendirebilmek amacıyla, bölümlerden gelen talepler doğrultusunda teknik geziler düzenlenmektedir. Teknik geziler; dersin öğrenme çıktıları, program amaçları ve sektörle etkileşim hedefleri dikkate alınarak planlanmakta, ilgili bölüm kurullarının görüşleri doğrultusunda uygulamaya alınmaktadır. Bu kapsamda öğrencilerin üretim süreçlerini, kurumsal işleyişleri ve mesleki uygulamaları yerinde gözlemlemeleri sağlanarak uygulama derslerinin desteklenmesi hedeflenmektedir. Gerçekleştirilen teknik gezilere ilişkin bilgiler kayıt altına alınmakta ve kalite güvence sistemi çerçevesinde izlenebilirlik sağlanmaktadır.</w:t>
      </w:r>
    </w:p>
    <w:p>
      <w:pPr>
        <w:jc w:val="both"/>
        <w:rPr>
          <w:rFonts w:ascii="Times New Roman" w:hAnsi="Times New Roman" w:cs="Times New Roman"/>
        </w:rPr>
      </w:pPr>
      <w:r>
        <w:rPr>
          <w:rFonts w:ascii="Times New Roman" w:hAnsi="Times New Roman" w:cs="Times New Roman"/>
        </w:rPr>
        <w:t xml:space="preserve">Staj Eğitim ve Uygulama Kurulu tarafından staj takvimi belirlenmekte, ilke ve usuller tanımlanmakta, staj yerleri onaylanmakta ve süreç boyunca izleme ve denetim faaliyetleri yürütülerek kalite güvencesi sağlanmaktadır. Ayrıca, kamu ve özel sektör kuruluşlarıyla iletişim kurularak staj olanakları artırılmakta, staj süreçlerine ilişkin verilerin sistematik biçimde kayıt altına alınması ve öğrenci geri bildirimlerinin anketler aracılığıyla toplanması hedeflenmektedir </w:t>
      </w:r>
      <w:hyperlink w:anchor="KANIT17" w:history="1">
        <w:r>
          <w:rPr>
            <w:rStyle w:val="Kpr"/>
            <w:rFonts w:ascii="Times New Roman" w:hAnsi="Times New Roman" w:cs="Times New Roman"/>
          </w:rPr>
          <w:t>(Kanıt 17).</w:t>
        </w:r>
      </w:hyperlink>
      <w:r>
        <w:rPr>
          <w:rFonts w:ascii="Times New Roman" w:hAnsi="Times New Roman" w:cs="Times New Roman"/>
        </w:rPr>
        <w:t xml:space="preserve"> </w:t>
      </w:r>
    </w:p>
    <w:p>
      <w:pPr>
        <w:jc w:val="both"/>
        <w:rPr>
          <w:rFonts w:ascii="Times New Roman" w:hAnsi="Times New Roman" w:cs="Times New Roman"/>
        </w:rPr>
      </w:pPr>
      <w:r>
        <w:rPr>
          <w:rFonts w:ascii="Times New Roman" w:hAnsi="Times New Roman" w:cs="Times New Roman"/>
        </w:rPr>
        <w:t xml:space="preserve">2025-2026 Eğitim-Öğretim Yılı güz döneminde staj komisyonu tarafından öğrencilere yönelik mesleki uygulama eğitimi bilgilendirme toplantıları gerçekleştirilmiş; bu eğitimlerin her yarıyıl başında standart içerik ve takvim çerçevesinde planlanarak kayıt altına alındığı görülmüştür. Mevcut uygulamaların sürdürülebilirliğini güçlendirmek amacıyla, mesleki uygulama eğitimlerine ilişkin öğrenci geri bildirimlerinin dönem sonunda değerlendirilmesi ve elde edilen bulguların bir sonraki yarıyılın planlama sürecine yansıtılması hedeflenmektedir </w:t>
      </w:r>
      <w:hyperlink w:anchor="KANIT17" w:history="1">
        <w:r>
          <w:rPr>
            <w:rStyle w:val="Kpr"/>
            <w:rFonts w:ascii="Times New Roman" w:hAnsi="Times New Roman" w:cs="Times New Roman"/>
          </w:rPr>
          <w:t>(Kanıt 17).</w:t>
        </w:r>
      </w:hyperlink>
      <w:r>
        <w:rPr>
          <w:rFonts w:ascii="Times New Roman" w:hAnsi="Times New Roman" w:cs="Times New Roman"/>
        </w:rPr>
        <w:t xml:space="preserve"> </w:t>
      </w:r>
    </w:p>
    <w:p>
      <w:pPr>
        <w:jc w:val="both"/>
        <w:rPr>
          <w:rFonts w:ascii="Times New Roman" w:hAnsi="Times New Roman" w:cs="Times New Roman"/>
        </w:rPr>
      </w:pPr>
      <w:r>
        <w:rPr>
          <w:rFonts w:ascii="Times New Roman" w:hAnsi="Times New Roman" w:cs="Times New Roman"/>
        </w:rPr>
        <w:t xml:space="preserve">Ayrıca, seçmeli ders havuzlarının disiplinler arası bakış açısını destekleyecek şekilde genişletilmesi ve 2025 yılı içerisinde paydaş katılımı ile çeşitlendirilmesi planlanmakta; bu </w:t>
      </w:r>
      <w:r>
        <w:rPr>
          <w:rFonts w:ascii="Times New Roman" w:hAnsi="Times New Roman" w:cs="Times New Roman"/>
        </w:rPr>
        <w:lastRenderedPageBreak/>
        <w:t xml:space="preserve">doğrultuda öğrencilerin yeni teknolojiler, yenilikçi yaklaşımlar ve sektör trendleri hakkında bilgi edinmelerine olanak sağlanması amaçlanmaktadır </w:t>
      </w:r>
      <w:hyperlink w:anchor="KANIT16" w:history="1">
        <w:r>
          <w:rPr>
            <w:rStyle w:val="Kpr"/>
            <w:rFonts w:ascii="Times New Roman" w:hAnsi="Times New Roman" w:cs="Times New Roman"/>
          </w:rPr>
          <w:t>(Kanıt 16).</w:t>
        </w:r>
      </w:hyperlink>
    </w:p>
    <w:p>
      <w:pPr>
        <w:jc w:val="both"/>
        <w:rPr>
          <w:rFonts w:ascii="Times New Roman" w:hAnsi="Times New Roman" w:cs="Times New Roman"/>
        </w:rPr>
      </w:pPr>
    </w:p>
    <w:p>
      <w:pPr>
        <w:rPr>
          <w:rFonts w:ascii="Times New Roman" w:hAnsi="Times New Roman" w:cs="Times New Roman"/>
        </w:rPr>
      </w:pPr>
      <w:r>
        <w:rPr>
          <w:rFonts w:ascii="Times New Roman" w:hAnsi="Times New Roman" w:cs="Times New Roman"/>
          <w:b/>
          <w:bCs/>
        </w:rPr>
        <w:t>B.1.3. Ders Kazanımlarının Program Çıktılarıyla Uyumu</w:t>
      </w:r>
    </w:p>
    <w:p>
      <w:pPr>
        <w:jc w:val="both"/>
        <w:rPr>
          <w:rFonts w:ascii="Times New Roman" w:hAnsi="Times New Roman" w:cs="Times New Roman"/>
        </w:rPr>
      </w:pPr>
      <w:r>
        <w:rPr>
          <w:rFonts w:ascii="Times New Roman" w:hAnsi="Times New Roman" w:cs="Times New Roman"/>
        </w:rPr>
        <w:t xml:space="preserve">Yüksekokulumuz bünyesindeki programlar; Türkiye Yükseköğretim Yeterlilikler Çerçevesi (TYYÇ), Avrupa Yeterlilikler Çerçevesi (EQF), Ulusal Yeterlilikler Çerçevesi (UYÇ) ve alana özgü yeterlilikler dikkate alınarak yapılandırılmaktadır. Program yeterlilikleri, her bir dersin öğrenme çıktılarıyla sistematik biçimde ilişkilendirilmekte; bu sayede öğrencilerin akademik ve mesleki gelişimlerini destekleyen bütüncül bir öğrenme yapısı oluşturulmaktadır </w:t>
      </w:r>
      <w:hyperlink w:anchor="KANIT18" w:history="1">
        <w:r>
          <w:rPr>
            <w:rStyle w:val="Kpr"/>
            <w:rFonts w:ascii="Times New Roman" w:hAnsi="Times New Roman" w:cs="Times New Roman"/>
          </w:rPr>
          <w:t>(Kanıt 18).</w:t>
        </w:r>
      </w:hyperlink>
      <w:r>
        <w:rPr>
          <w:rFonts w:ascii="Times New Roman" w:hAnsi="Times New Roman" w:cs="Times New Roman"/>
        </w:rPr>
        <w:t xml:space="preserve"> </w:t>
      </w:r>
    </w:p>
    <w:p>
      <w:pPr>
        <w:jc w:val="both"/>
        <w:rPr>
          <w:rFonts w:ascii="Times New Roman" w:hAnsi="Times New Roman" w:cs="Times New Roman"/>
        </w:rPr>
      </w:pPr>
      <w:r>
        <w:rPr>
          <w:rFonts w:ascii="Times New Roman" w:hAnsi="Times New Roman" w:cs="Times New Roman"/>
        </w:rPr>
        <w:t xml:space="preserve">Ders kazanımlarının program çıktılarıyla uyumunun sağlanmasına yönelik olarak, Birim Kalite Komisyonu toplantısında alınan karar doğrultusunda birim kalite sorumlusu tarafından her bir bölümle ayrı ayrı bölüm kurulu toplantıları gerçekleştirilmiş ve süreçlere ilişkin bilgilendirme yapılmıştır </w:t>
      </w:r>
      <w:hyperlink w:anchor="KANIT19" w:history="1">
        <w:r>
          <w:rPr>
            <w:rStyle w:val="Kpr"/>
            <w:rFonts w:ascii="Times New Roman" w:hAnsi="Times New Roman" w:cs="Times New Roman"/>
          </w:rPr>
          <w:t>(Kanıt 19).</w:t>
        </w:r>
      </w:hyperlink>
      <w:r>
        <w:rPr>
          <w:rFonts w:ascii="Times New Roman" w:hAnsi="Times New Roman" w:cs="Times New Roman"/>
        </w:rPr>
        <w:t xml:space="preserve"> </w:t>
      </w:r>
    </w:p>
    <w:p>
      <w:pPr>
        <w:jc w:val="both"/>
        <w:rPr>
          <w:rFonts w:ascii="Times New Roman" w:hAnsi="Times New Roman" w:cs="Times New Roman"/>
        </w:rPr>
      </w:pPr>
      <w:r>
        <w:rPr>
          <w:rFonts w:ascii="Times New Roman" w:hAnsi="Times New Roman" w:cs="Times New Roman"/>
        </w:rPr>
        <w:t xml:space="preserve">Ders bilgi paketleri/katalogları 2024 yılı itibarıyla tamamlanmış, 2025 yılında ise mevzuata uygunluk, kazanım–çıktı eşleşmeleri ve içerik tutarlılığı açısından incelenerek güncellenmiş ve iç ve dış paydaşların erişimine açılmıştır. Programlara ait ders içerikleri ve müfredatlar, şeffaflık ve erişilebilirlik ilkeleri doğrultusunda yüksekokulumuzun web sayfası üzerinden yayımlanmaktadır. Ders kazanımlarının etkinliğinin ölçülmesi ve program çıktılarıyla uyumunun izlenmesi amacıyla, 2025 yılı içerisinde paydaş katılımına dayalı değerlendirme çalışmaları yapılmış; elde edilecek geri bildirimler doğrultusunda sürekli iyileştirme faaliyetlerinin yürütülmesi 2026 yılında hedeflenmektedir </w:t>
      </w:r>
      <w:hyperlink w:anchor="KANIT20" w:history="1">
        <w:r>
          <w:rPr>
            <w:rStyle w:val="Kpr"/>
            <w:rFonts w:ascii="Times New Roman" w:hAnsi="Times New Roman" w:cs="Times New Roman"/>
          </w:rPr>
          <w:t>(Kanıt 20).</w:t>
        </w:r>
      </w:hyperlink>
    </w:p>
    <w:p>
      <w:pPr>
        <w:jc w:val="both"/>
        <w:rPr>
          <w:rFonts w:ascii="Times New Roman" w:hAnsi="Times New Roman" w:cs="Times New Roman"/>
        </w:rPr>
      </w:pPr>
      <w:r>
        <w:rPr>
          <w:rFonts w:ascii="Times New Roman" w:hAnsi="Times New Roman" w:cs="Times New Roman"/>
          <w:b/>
          <w:bCs/>
        </w:rPr>
        <w:t>B.1.4. Öğrenci İş Yüküne Dayalı Ders Tasarımı</w:t>
      </w:r>
    </w:p>
    <w:p>
      <w:pPr>
        <w:jc w:val="both"/>
        <w:rPr>
          <w:rFonts w:ascii="Times New Roman" w:hAnsi="Times New Roman" w:cs="Times New Roman"/>
        </w:rPr>
      </w:pPr>
      <w:r>
        <w:rPr>
          <w:rFonts w:ascii="Times New Roman" w:hAnsi="Times New Roman" w:cs="Times New Roman"/>
        </w:rPr>
        <w:t>Yüksekokulumuzda dersler, öğrenci merkezli eğitim anlayışı doğrultusunda, öğrencilerin akademik iş yüklerini dengeleyen ve öğrenme süreçlerini etkin kılan bir yaklaşımla tasarlanmaktadır. Derslerin iş yükü belirlenirken Avrupa Kredi Transfer Sistemi (AKTS) ilkeleri esas alınmakta; öğrencilerin teorik ve uygulamalı derslere, bireysel ve grup çalışmalarına, sınav ve değerlendirme faaliyetlerine ayırdıkları zaman dikkate alınmaktadır. Programlarda zorunlu ve seçmeli derslerin AKTS yükleri dengeli biçimde dağıtılarak öğrencilerin her yarıyılda eşit ve yönetilebilir bir akademik yük altında olmaları sağlanmakta; bu düzenlemeler bölüm kurullarında alınan kararlar doğrultusunda gerçekleştirilmektedir (Bölüm Kurul Kararları). Bu yaklaşım, öğrencilerin öğrenme süreçlerini planlı biçimde yönetmelerine ve mezuniyet için gerekli bilgi, beceri ve yetkinlikleri kazanmalarına katkı sunmaktadır.</w:t>
      </w:r>
    </w:p>
    <w:p>
      <w:pPr>
        <w:jc w:val="both"/>
        <w:rPr>
          <w:rFonts w:ascii="Times New Roman" w:hAnsi="Times New Roman" w:cs="Times New Roman"/>
        </w:rPr>
      </w:pPr>
      <w:r>
        <w:rPr>
          <w:rFonts w:ascii="Times New Roman" w:hAnsi="Times New Roman" w:cs="Times New Roman"/>
        </w:rPr>
        <w:t xml:space="preserve">AKTS uygulamalarının etkinliğinin izlenmesi ve sürdürülebilirliğinin sağlanması amacıyla, AKTS Koordinatörlüğü tarafından her yarıyıl başında AKTS Bilgi Paketleri kontrol edilmekte; tespit edilen hususlara ilişkin ilgili birimlerle iletişime geçilerek gerekli düzenlemeler yapılmaktadır. Ayrıca, </w:t>
      </w:r>
      <w:proofErr w:type="spellStart"/>
      <w:r>
        <w:rPr>
          <w:rFonts w:ascii="Times New Roman" w:hAnsi="Times New Roman" w:cs="Times New Roman"/>
        </w:rPr>
        <w:t>AKTS’nin</w:t>
      </w:r>
      <w:proofErr w:type="spellEnd"/>
      <w:r>
        <w:rPr>
          <w:rFonts w:ascii="Times New Roman" w:hAnsi="Times New Roman" w:cs="Times New Roman"/>
        </w:rPr>
        <w:t xml:space="preserve"> uygulanmasını kolaylaştırmak amacıyla birimlere yönelik bilgilendirme ve eğitim faaliyetleri yürütülmekte; birim koordinatörleri </w:t>
      </w:r>
      <w:r>
        <w:rPr>
          <w:rFonts w:ascii="Times New Roman" w:hAnsi="Times New Roman" w:cs="Times New Roman"/>
        </w:rPr>
        <w:lastRenderedPageBreak/>
        <w:t xml:space="preserve">aracılığıyla öğrenciler AKTS ve AKTS Bilgi Paketi hakkında bilgilendirilmektedir </w:t>
      </w:r>
      <w:hyperlink w:anchor="KANIT14" w:history="1">
        <w:r>
          <w:rPr>
            <w:rStyle w:val="Kpr"/>
            <w:rFonts w:ascii="Times New Roman" w:hAnsi="Times New Roman" w:cs="Times New Roman"/>
          </w:rPr>
          <w:t>(Kanıt 14).</w:t>
        </w:r>
      </w:hyperlink>
      <w:r>
        <w:rPr>
          <w:rFonts w:ascii="Times New Roman" w:hAnsi="Times New Roman" w:cs="Times New Roman"/>
        </w:rPr>
        <w:t xml:space="preserve"> 2025 yılında Bologna Komisyonu tarafından akademik birimlere yönelik hizmet içi eğitim programı düzenlenmiş; bu eğitim kapsamında AKTS hesaplamaları, program yeterlilikleri, ders öğrenme çıktıları ve öğrenci iş yükü esasları ele alınarak eğitim-öğretim süreçlerinin etkinliğinin artırılması hedeflenmiştir. Sürekli iyileştirme anlayışı doğrultusunda, öğrenci geri bildirimlerini toplamak üzere geri bildirim anketi taslağı hazırlanmış olup, elde edilecek bulguların 2026 yılı itibarıyla Sürekli İyileştirme Komisyonu tarafından değerlendirilmesi ve Birim Kalite Komisyonu koordinasyonunda ders tasarımlarına yansıtılması planlanmaktadır </w:t>
      </w:r>
      <w:hyperlink w:anchor="KANIT19" w:history="1">
        <w:r>
          <w:rPr>
            <w:rStyle w:val="Kpr"/>
            <w:rFonts w:ascii="Times New Roman" w:hAnsi="Times New Roman" w:cs="Times New Roman"/>
          </w:rPr>
          <w:t>(Kanıt 19).</w:t>
        </w:r>
      </w:hyperlink>
      <w:r>
        <w:rPr>
          <w:rFonts w:ascii="Times New Roman" w:hAnsi="Times New Roman" w:cs="Times New Roman"/>
        </w:rPr>
        <w:t xml:space="preserve"> Bu doğrultuda, ders tasarımlarının güncellenmesi, uluslararası standartlarla uyumunun güçlendirilmesi ve akademik kadronun Bologna sürecine ilişkin farkındalığının artırılması hedeflenmektedir.</w:t>
      </w:r>
    </w:p>
    <w:p>
      <w:pPr>
        <w:jc w:val="both"/>
        <w:rPr>
          <w:rFonts w:ascii="Times New Roman" w:hAnsi="Times New Roman" w:cs="Times New Roman"/>
        </w:rPr>
      </w:pPr>
      <w:r>
        <w:rPr>
          <w:rFonts w:ascii="Times New Roman" w:hAnsi="Times New Roman" w:cs="Times New Roman"/>
        </w:rPr>
        <w:t xml:space="preserve">Derslere ilişkin AKTS hesaplamalarında yalnızca ders saati ve haftalık yükler değil; ölçme ve değerlendirme süreçlerinin çeşitliliği de aktif bir belirleyici unsur olarak dikkate alınmaktadır. Bu kapsamda ara sınav, final sınavı, uygulama, proje, ödev, sunum, rapor hazırlama, saha çalışması ve benzeri ölçme-değerlendirme faaliyetleri için öğrencilerin harcadıkları zaman, öğrenci iş yükü hesaplamalarına dâhil edilerek AKTS değerleri belirlenmektedir. Ölçme ve değerlendirme yöntemlerinin dersin öğrenme çıktılarıyla uyumlu biçimde çeşitlendirilmesi, öğrencilerin ders kapsamında gerçekleştirdikleri akademik faaliyetlerin iş yüküne gerçekçi biçimde yansıtılmasına katkı sağlamakta ve öğrenci merkezli eğitim anlayışını desteklemektedir </w:t>
      </w:r>
      <w:hyperlink r:id="rId28" w:history="1">
        <w:r>
          <w:rPr>
            <w:rStyle w:val="Kpr"/>
            <w:rFonts w:ascii="Times New Roman" w:hAnsi="Times New Roman" w:cs="Times New Roman"/>
          </w:rPr>
          <w:t>(Kanıt web sitesi).</w:t>
        </w:r>
      </w:hyperlink>
    </w:p>
    <w:p>
      <w:pPr>
        <w:jc w:val="both"/>
        <w:rPr>
          <w:rFonts w:ascii="Times New Roman" w:hAnsi="Times New Roman" w:cs="Times New Roman"/>
        </w:rPr>
      </w:pPr>
      <w:r>
        <w:rPr>
          <w:rFonts w:ascii="Times New Roman" w:hAnsi="Times New Roman" w:cs="Times New Roman"/>
          <w:b/>
          <w:bCs/>
        </w:rPr>
        <w:t>B.1.5. Programların İzlenmesi ve Güncellenmesi</w:t>
      </w:r>
    </w:p>
    <w:p>
      <w:pPr>
        <w:jc w:val="both"/>
        <w:rPr>
          <w:rFonts w:ascii="Times New Roman" w:hAnsi="Times New Roman" w:cs="Times New Roman"/>
        </w:rPr>
      </w:pPr>
      <w:r>
        <w:rPr>
          <w:rFonts w:ascii="Times New Roman" w:hAnsi="Times New Roman" w:cs="Times New Roman"/>
        </w:rPr>
        <w:t xml:space="preserve">Yüksekokulumuzda yürütülen tüm programların etkinliği ve güncelliği, kalite güvence sistemi kapsamında bölüm ve programlar düzeyinde izlenmekte ve sürekli iyileştirme anlayışı doğrultusunda güncellenmektedir. Programların izlenmesine yönelik süreçlerin 2025 yılında başlatılması, bir önceki Birim Öz Değerlendirme Raporu’nda planlanmış olmakla birlikte; paydaş katılımının sağlanması ve geri bildirimlerin daha sağlıklı ve kapsayıcı biçimde toplanabilmesi amacıyla izleme faaliyetlerinin 2026 yılında yürütülmesine karar verilmiştir </w:t>
      </w:r>
      <w:hyperlink w:anchor="KANIT19" w:history="1">
        <w:r>
          <w:rPr>
            <w:rStyle w:val="Kpr"/>
            <w:rFonts w:ascii="Times New Roman" w:hAnsi="Times New Roman" w:cs="Times New Roman"/>
          </w:rPr>
          <w:t>(Kanıt 19).</w:t>
        </w:r>
      </w:hyperlink>
      <w:r>
        <w:rPr>
          <w:rFonts w:ascii="Times New Roman" w:hAnsi="Times New Roman" w:cs="Times New Roman"/>
        </w:rPr>
        <w:t xml:space="preserve"> Bu yaklaşım, eğitim-öğretim faaliyetlerinin çağın gereksinimleri ve iş gücü piyasasının beklentileri doğrultusunda geliştirilmesini hedeflemektedir. </w:t>
      </w:r>
    </w:p>
    <w:p>
      <w:pPr>
        <w:jc w:val="both"/>
        <w:rPr>
          <w:rFonts w:ascii="Times New Roman" w:hAnsi="Times New Roman" w:cs="Times New Roman"/>
        </w:rPr>
      </w:pPr>
      <w:r>
        <w:rPr>
          <w:rFonts w:ascii="Times New Roman" w:hAnsi="Times New Roman" w:cs="Times New Roman"/>
        </w:rPr>
        <w:t xml:space="preserve">Programların izlenmesi sürecinde ders telafi uygulamaları, program uygulamalarının sürekliliği ve öğrenci öğrenme çıktılarının korunması açısından değerlendirilmekte ve kayıt altına alınmaktadır </w:t>
      </w:r>
      <w:hyperlink w:anchor="KANIT21" w:history="1">
        <w:r>
          <w:rPr>
            <w:rStyle w:val="Kpr"/>
            <w:rFonts w:ascii="Times New Roman" w:hAnsi="Times New Roman" w:cs="Times New Roman"/>
          </w:rPr>
          <w:t>(Kanıt 21).</w:t>
        </w:r>
      </w:hyperlink>
      <w:r>
        <w:rPr>
          <w:rFonts w:ascii="Times New Roman" w:hAnsi="Times New Roman" w:cs="Times New Roman"/>
        </w:rPr>
        <w:t xml:space="preserve"> </w:t>
      </w:r>
    </w:p>
    <w:p>
      <w:pPr>
        <w:jc w:val="both"/>
        <w:rPr>
          <w:rFonts w:ascii="Times New Roman" w:hAnsi="Times New Roman" w:cs="Times New Roman"/>
        </w:rPr>
      </w:pPr>
      <w:r>
        <w:rPr>
          <w:rFonts w:ascii="Times New Roman" w:hAnsi="Times New Roman" w:cs="Times New Roman"/>
        </w:rPr>
        <w:t xml:space="preserve">Mezun Öğrencilerle İletişim Komisyonu aracılığıyla mezunlarla sürekli ve etkin iletişim kurulmakta; mezunların iletişim bilgileri güncel bir veri tabanında tutulmakta, mezun–öğrenci–öğretim elemanı etkileşimini artırmaya yönelik toplantı ve forumlar düzenlenmektedir. Mezunların kariyer gelişimleri, çalışma alanları ve başarılarının öğrencilerle paylaşılması yoluyla öğrencilere rehberlik ve motivasyon sağlanmakta; ayrıca dikey geçiş yapan mezunların izlenmesine yönelik çalışmalar yürütülmektedir. Yapılan değerlendirmelerde, bazı programlarda mezun-öğrenci etkileşimini destekleyen faaliyetlerin hayata geçirildiği, bazı programlarda ise bu faaliyetlerin planlama aşamasında olduğu görülmüştür. Bununla birlikte, GÜSEM kapsamında yürütülen sürekli eğitim faaliyetlerinin </w:t>
      </w:r>
      <w:r>
        <w:rPr>
          <w:rFonts w:ascii="Times New Roman" w:hAnsi="Times New Roman" w:cs="Times New Roman"/>
        </w:rPr>
        <w:lastRenderedPageBreak/>
        <w:t xml:space="preserve">öğrencilerin mesleki yeterliliklerini destekleyici nitelikte olduğu değerlendirilmektedir </w:t>
      </w:r>
      <w:hyperlink w:anchor="KANIT22" w:history="1">
        <w:r>
          <w:rPr>
            <w:rStyle w:val="Kpr"/>
            <w:rFonts w:ascii="Times New Roman" w:hAnsi="Times New Roman" w:cs="Times New Roman"/>
          </w:rPr>
          <w:t>(Kanıt 22).</w:t>
        </w:r>
      </w:hyperlink>
      <w:r>
        <w:rPr>
          <w:rFonts w:ascii="Times New Roman" w:hAnsi="Times New Roman" w:cs="Times New Roman"/>
        </w:rPr>
        <w:t xml:space="preserve"> Sürekli iyileştirme anlayışı doğrultusunda, mezun iletişim faaliyetlerinin tüm programları kapsayacak şekilde yaygınlaştırılması, sürekli eğitim faaliyetlerinin çıktılarının sistematik biçimde izlenmesi ve değerlendirilmesi yoluyla programların güncellenmesine veri sağlaması hedeflenmektedir.</w:t>
      </w:r>
    </w:p>
    <w:p>
      <w:pPr>
        <w:jc w:val="both"/>
        <w:rPr>
          <w:rFonts w:ascii="Times New Roman" w:hAnsi="Times New Roman" w:cs="Times New Roman"/>
        </w:rPr>
      </w:pPr>
      <w:r>
        <w:rPr>
          <w:rFonts w:ascii="Times New Roman" w:hAnsi="Times New Roman" w:cs="Times New Roman"/>
        </w:rPr>
        <w:t xml:space="preserve">Programların izlenmesi ve uygulama süreçlerinin geliştirilmesi kapsamında Bankacılık ve Sigortacılık Programında staj uygulamalarına yönelik iyi uygulama örnekleri geliştirilmektedir. Bu çerçevede staja gidecek öğrencilerin mümkün olduğunca yüksekokulumuz mezunu olup sektörde aktif olarak görev yapan mezunların bulunduğu kurumlara yönlendirilmesi sağlanmaktadır. Bu uygulama aracılığıyla öğrencilerin mesleki uyum süreçlerinin kolaylaştırılması, sektörel beklentilere daha hızlı adaptasyon sağlanması ve mezun–öğrenci etkileşiminin güçlendirilmesi hedeflenmektedir. Mezunların rehberlik rolü üstlenmesi, öğrencilerin kariyer farkındalıklarının artırılmasına ve uygulama deneyimlerinin zenginleştirilmesine katkı sunmaktadır. Aynı zamanda söz konusu yaklaşım, mezun geri bildirimlerinin dolaylı biçimde eğitim-öğretim ve staj süreçlerine yansımasına imkân tanımakta; programların sektörel uyumunun desteklenmesine katkı sağlamaktadır </w:t>
      </w:r>
      <w:hyperlink w:anchor="KANIT17" w:history="1">
        <w:r>
          <w:rPr>
            <w:rStyle w:val="Kpr"/>
            <w:rFonts w:ascii="Times New Roman" w:hAnsi="Times New Roman" w:cs="Times New Roman"/>
          </w:rPr>
          <w:t>(Kanıt 17).</w:t>
        </w:r>
      </w:hyperlink>
    </w:p>
    <w:p>
      <w:pPr>
        <w:jc w:val="both"/>
        <w:rPr>
          <w:rFonts w:ascii="Times New Roman" w:hAnsi="Times New Roman" w:cs="Times New Roman"/>
        </w:rPr>
      </w:pPr>
      <w:r>
        <w:rPr>
          <w:rFonts w:ascii="Times New Roman" w:hAnsi="Times New Roman" w:cs="Times New Roman"/>
          <w:b/>
          <w:bCs/>
        </w:rPr>
        <w:t>B.1.6. Eğitim ve Öğretim Süreçlerinin Yönetimi</w:t>
      </w:r>
    </w:p>
    <w:p>
      <w:pPr>
        <w:jc w:val="both"/>
        <w:rPr>
          <w:rFonts w:ascii="Times New Roman" w:hAnsi="Times New Roman" w:cs="Times New Roman"/>
        </w:rPr>
      </w:pPr>
      <w:r>
        <w:rPr>
          <w:rFonts w:ascii="Times New Roman" w:hAnsi="Times New Roman" w:cs="Times New Roman"/>
        </w:rPr>
        <w:t xml:space="preserve">Yüksekokulumuzda eğitim ve öğretim süreçlerinin yönetimi, öğrenci merkezli eğitim anlayışı temel alınarak, tanımlı süreçler ve ilgili mevzuat çerçevesinde etkin bir şekilde yürütülmektedir. Eğitim-öğretim faaliyetlerinin planlanması, uygulanması, izlenmesi ve değerlendirilmesi; akademik takvim doğrultusunda ders planlamalarının yapılması, öğretim yöntemlerinin belirlenmesi, ölçme ve değerlendirme süreçlerinin şeffaf ve izlenebilir biçimde yürütülmesi ile kalite güvence mekanizmalarının işletilmesini kapsamaktadır. Bu süreçler; Bologna Süreci, Türkiye Yükseköğretim Yeterlilikler Çerçevesi (TYYÇ) ve Yükseköğretim Kurulu (YÖK) tarafından belirlenen kalite standartlarıyla uyumlu olarak tasarlanmakta ve yönetilmektedir. </w:t>
      </w:r>
    </w:p>
    <w:p>
      <w:pPr>
        <w:jc w:val="both"/>
        <w:rPr>
          <w:rFonts w:ascii="Times New Roman" w:hAnsi="Times New Roman" w:cs="Times New Roman"/>
        </w:rPr>
      </w:pPr>
      <w:r>
        <w:rPr>
          <w:rFonts w:ascii="Times New Roman" w:hAnsi="Times New Roman" w:cs="Times New Roman"/>
        </w:rPr>
        <w:t xml:space="preserve">Eğitim ve öğretim süreçlerine ilişkin görev tanımları ve sorumluluklar, teşkilat şeması, görev tanımları ve iş akış süreçleri ile ayrıntılı biçimde belirlenmiş; söz konusu dokümanlar yüksekokulumuzun web sitesi aracılığıyla iç ve dış paydaşların erişimine açılmıştır. Eğitim-öğretim programlarının tasarlanması, yürütülmesi, değerlendirilmesi ve güncellenmesine ilişkin ilke ve esaslar Giresun Üniversitesi Ön Lisans ve Lisans Eğitim-Öğretim ve Sınav Yönetmeliği ile tanımlanmış olup, eğitim ve öğretim süreçleri ile ölçme-değerlendirme takvimi 2024-2025 ve 2025-2026 akademik takvimleri doğrultusunda sürdürülmektedir </w:t>
      </w:r>
      <w:hyperlink w:anchor="KANIT14" w:history="1">
        <w:r>
          <w:rPr>
            <w:rStyle w:val="Kpr"/>
            <w:rFonts w:ascii="Times New Roman" w:hAnsi="Times New Roman" w:cs="Times New Roman"/>
          </w:rPr>
          <w:t>(Kanıt 14).</w:t>
        </w:r>
      </w:hyperlink>
      <w:r>
        <w:rPr>
          <w:rFonts w:ascii="Times New Roman" w:hAnsi="Times New Roman" w:cs="Times New Roman"/>
        </w:rPr>
        <w:t xml:space="preserve"> Yönetmelikte yapılan değişikliklere ilişkin bilgilendirmeler akademik kurullarda gerçekleştirilmiş; uygulamaya ilişkin izleme ve değerlendirme sorumluluğu ise bölüm kurullarına bırakılmıştır </w:t>
      </w:r>
      <w:hyperlink w:anchor="KANIT15" w:history="1">
        <w:r>
          <w:rPr>
            <w:rStyle w:val="Kpr"/>
            <w:rFonts w:ascii="Times New Roman" w:hAnsi="Times New Roman" w:cs="Times New Roman"/>
          </w:rPr>
          <w:t>(Kanıt 15).</w:t>
        </w:r>
      </w:hyperlink>
    </w:p>
    <w:p>
      <w:pPr>
        <w:jc w:val="both"/>
        <w:rPr>
          <w:rFonts w:ascii="Times New Roman" w:hAnsi="Times New Roman" w:cs="Times New Roman"/>
        </w:rPr>
      </w:pPr>
      <w:r>
        <w:rPr>
          <w:rFonts w:ascii="Times New Roman" w:hAnsi="Times New Roman" w:cs="Times New Roman"/>
        </w:rPr>
        <w:t xml:space="preserve">Üniversite Senatosu tarafından belirlenen akademik takvim doğrultusunda, ders ve sınav programları Ders Programı Koordinatörlüğü ve Sınav Programı Koordinatörlüğü tarafından paydaş katılımı esas alınarak hazırlanmakta; dersler, öğretim elemanlarının uzmanlık alanları ve ders içerikleri dikkate alınarak planlanmaktadır. Ayrıca, derslik ve laboratuvar kullanım planları öğrenci sayıları, uygulamalı derslerin gereklilikleri ve fiziki imkânlar göz önünde </w:t>
      </w:r>
      <w:r>
        <w:rPr>
          <w:rFonts w:ascii="Times New Roman" w:hAnsi="Times New Roman" w:cs="Times New Roman"/>
        </w:rPr>
        <w:lastRenderedPageBreak/>
        <w:t xml:space="preserve">bulundurularak optimize edilmekte; bu sayede öğrencilerin derslere etkin katılımının sağlanması ve akademik takvime uygunluğun sürdürülmesi hedeflenmektedir </w:t>
      </w:r>
      <w:hyperlink r:id="rId29" w:history="1">
        <w:r>
          <w:rPr>
            <w:rStyle w:val="Kpr"/>
            <w:rFonts w:ascii="Times New Roman" w:hAnsi="Times New Roman" w:cs="Times New Roman"/>
          </w:rPr>
          <w:t>(MYO faaliyet Raporu).</w:t>
        </w:r>
      </w:hyperlink>
    </w:p>
    <w:p>
      <w:pPr>
        <w:jc w:val="both"/>
        <w:rPr>
          <w:rFonts w:ascii="Times New Roman" w:hAnsi="Times New Roman" w:cs="Times New Roman"/>
        </w:rPr>
      </w:pPr>
    </w:p>
    <w:p>
      <w:pPr>
        <w:jc w:val="both"/>
        <w:rPr>
          <w:rFonts w:ascii="Times New Roman" w:hAnsi="Times New Roman" w:cs="Times New Roman"/>
        </w:rPr>
      </w:pPr>
    </w:p>
    <w:p>
      <w:pPr>
        <w:widowControl w:val="0"/>
        <w:tabs>
          <w:tab w:val="left" w:pos="660"/>
        </w:tabs>
        <w:autoSpaceDE w:val="0"/>
        <w:autoSpaceDN w:val="0"/>
        <w:spacing w:before="62" w:after="0" w:line="240" w:lineRule="auto"/>
        <w:rPr>
          <w:rFonts w:ascii="Times New Roman" w:hAnsi="Times New Roman" w:cs="Times New Roman"/>
          <w:b/>
          <w:bCs/>
          <w:spacing w:val="-2"/>
        </w:rPr>
      </w:pPr>
      <w:r>
        <w:rPr>
          <w:rFonts w:ascii="Times New Roman" w:hAnsi="Times New Roman" w:cs="Times New Roman"/>
          <w:b/>
          <w:bCs/>
        </w:rPr>
        <w:t>B.2. Programların</w:t>
      </w:r>
      <w:r>
        <w:rPr>
          <w:rFonts w:ascii="Times New Roman" w:hAnsi="Times New Roman" w:cs="Times New Roman"/>
          <w:b/>
          <w:bCs/>
          <w:spacing w:val="-5"/>
        </w:rPr>
        <w:t xml:space="preserve"> </w:t>
      </w:r>
      <w:r>
        <w:rPr>
          <w:rFonts w:ascii="Times New Roman" w:hAnsi="Times New Roman" w:cs="Times New Roman"/>
          <w:b/>
          <w:bCs/>
        </w:rPr>
        <w:t>Yürütülmesi</w:t>
      </w:r>
      <w:r>
        <w:rPr>
          <w:rFonts w:ascii="Times New Roman" w:hAnsi="Times New Roman" w:cs="Times New Roman"/>
          <w:b/>
          <w:bCs/>
          <w:spacing w:val="-2"/>
        </w:rPr>
        <w:t xml:space="preserve"> </w:t>
      </w:r>
      <w:r>
        <w:rPr>
          <w:rFonts w:ascii="Times New Roman" w:hAnsi="Times New Roman" w:cs="Times New Roman"/>
          <w:b/>
          <w:bCs/>
        </w:rPr>
        <w:t>(Öğrenci</w:t>
      </w:r>
      <w:r>
        <w:rPr>
          <w:rFonts w:ascii="Times New Roman" w:hAnsi="Times New Roman" w:cs="Times New Roman"/>
          <w:b/>
          <w:bCs/>
          <w:spacing w:val="-2"/>
        </w:rPr>
        <w:t xml:space="preserve"> </w:t>
      </w:r>
      <w:r>
        <w:rPr>
          <w:rFonts w:ascii="Times New Roman" w:hAnsi="Times New Roman" w:cs="Times New Roman"/>
          <w:b/>
          <w:bCs/>
        </w:rPr>
        <w:t>Merkezli</w:t>
      </w:r>
      <w:r>
        <w:rPr>
          <w:rFonts w:ascii="Times New Roman" w:hAnsi="Times New Roman" w:cs="Times New Roman"/>
          <w:b/>
          <w:bCs/>
          <w:spacing w:val="-2"/>
        </w:rPr>
        <w:t xml:space="preserve"> </w:t>
      </w:r>
      <w:r>
        <w:rPr>
          <w:rFonts w:ascii="Times New Roman" w:hAnsi="Times New Roman" w:cs="Times New Roman"/>
          <w:b/>
          <w:bCs/>
        </w:rPr>
        <w:t>Öğrenme,</w:t>
      </w:r>
      <w:r>
        <w:rPr>
          <w:rFonts w:ascii="Times New Roman" w:hAnsi="Times New Roman" w:cs="Times New Roman"/>
          <w:b/>
          <w:bCs/>
          <w:spacing w:val="-2"/>
        </w:rPr>
        <w:t xml:space="preserve"> </w:t>
      </w:r>
      <w:r>
        <w:rPr>
          <w:rFonts w:ascii="Times New Roman" w:hAnsi="Times New Roman" w:cs="Times New Roman"/>
          <w:b/>
          <w:bCs/>
        </w:rPr>
        <w:t>Öğretme</w:t>
      </w:r>
      <w:r>
        <w:rPr>
          <w:rFonts w:ascii="Times New Roman" w:hAnsi="Times New Roman" w:cs="Times New Roman"/>
          <w:b/>
          <w:bCs/>
          <w:spacing w:val="-3"/>
        </w:rPr>
        <w:t xml:space="preserve"> </w:t>
      </w:r>
      <w:r>
        <w:rPr>
          <w:rFonts w:ascii="Times New Roman" w:hAnsi="Times New Roman" w:cs="Times New Roman"/>
          <w:b/>
          <w:bCs/>
        </w:rPr>
        <w:t>ve</w:t>
      </w:r>
      <w:r>
        <w:rPr>
          <w:rFonts w:ascii="Times New Roman" w:hAnsi="Times New Roman" w:cs="Times New Roman"/>
          <w:b/>
          <w:bCs/>
          <w:spacing w:val="-2"/>
        </w:rPr>
        <w:t xml:space="preserve"> Değerlendirme)</w:t>
      </w:r>
    </w:p>
    <w:p>
      <w:pPr>
        <w:widowControl w:val="0"/>
        <w:tabs>
          <w:tab w:val="left" w:pos="660"/>
        </w:tabs>
        <w:autoSpaceDE w:val="0"/>
        <w:autoSpaceDN w:val="0"/>
        <w:spacing w:before="62" w:after="0" w:line="240" w:lineRule="auto"/>
        <w:rPr>
          <w:rFonts w:ascii="Times New Roman" w:hAnsi="Times New Roman" w:cs="Times New Roman"/>
          <w:b/>
          <w:bCs/>
        </w:rPr>
      </w:pPr>
    </w:p>
    <w:p>
      <w:pPr>
        <w:jc w:val="both"/>
        <w:rPr>
          <w:rFonts w:ascii="Times New Roman" w:hAnsi="Times New Roman" w:cs="Times New Roman"/>
          <w:b/>
          <w:bCs/>
        </w:rPr>
      </w:pPr>
      <w:r>
        <w:rPr>
          <w:rFonts w:ascii="Times New Roman" w:hAnsi="Times New Roman" w:cs="Times New Roman"/>
          <w:b/>
          <w:bCs/>
        </w:rPr>
        <w:t xml:space="preserve">B.2.1. Öğretim yöntem ve teknikleri </w:t>
      </w:r>
    </w:p>
    <w:p>
      <w:pPr>
        <w:jc w:val="both"/>
        <w:rPr>
          <w:rFonts w:ascii="Times New Roman" w:hAnsi="Times New Roman" w:cs="Times New Roman"/>
        </w:rPr>
      </w:pPr>
      <w:r>
        <w:rPr>
          <w:rFonts w:ascii="Times New Roman" w:hAnsi="Times New Roman" w:cs="Times New Roman"/>
        </w:rPr>
        <w:t>Yüksekokulumuzda eğitim-öğretim süreçlerinin niteliğini artırmak amacıyla öğrenci merkezli öğrenme yaklaşımı benimsenmekte ve öğretim yöntem ve tekniklerinin çeşitlendirilmesi kalite güvencesi sistemi içerisinde ele alınmaktadır. Bu doğrultuda derslerin yapısı, öğrenme çıktıları ve program hedefleri dikkate alınarak etkileşimli öğrenme, proje tabanlı eğitim, problem çözme teknikleri, vaka analizleri ve drama gibi aktif öğrenme yöntemlerinin ders süreçlerine entegre edilmesi planlanmaktadır. Eğitimde dijitalleşme stratejileri kapsamında çevrimiçi ders platformları, e-öğrenme materyalleri ve teknoloji destekli öğretim uygulamalarının yaygınlaştırılması hedeflenmekte; böylece öğrencilerin öğrenme süreçlerine aktif katılımı ve öğrenme kaynaklarına erişilebilirliği desteklenmektedir.</w:t>
      </w:r>
    </w:p>
    <w:p>
      <w:pPr>
        <w:jc w:val="both"/>
        <w:rPr>
          <w:rFonts w:ascii="Times New Roman" w:hAnsi="Times New Roman" w:cs="Times New Roman"/>
        </w:rPr>
      </w:pPr>
      <w:r>
        <w:rPr>
          <w:rFonts w:ascii="Times New Roman" w:hAnsi="Times New Roman" w:cs="Times New Roman"/>
        </w:rPr>
        <w:t xml:space="preserve">Planlanan pedagojik ve teknolojik uygulamalar doğrultusunda derslerde çeşitli öğretim yöntemleri kullanılmakta, öğrencilerin analitik düşünme, problem çözme ve uygulama becerilerinin geliştirilmesi sağlanmaktadır. Dijital öğrenme araçlarının ders süreçlerine entegrasyonu ile öğrenmenin sürekliliği güçlendirilmekte; öğretim elemanları tarafından teknoloji destekli öğretim uygulamaları etkin biçimde yürütülmektedir. Eğitim-öğretim faaliyetleri ilgili mevzuat hükümleri çerçevesinde sürdürülmekte olup Giresun Üniversitesi Ön Lisans ve Lisans Eğitim-Öğretim ve Sınav Yönetmeliği’nin 18. maddesi uyarınca teorik derslerde %70, uygulamalı derslerde %80 devam zorunluluğu uygulanmakta ve devam durumları sistematik olarak izlenmektedir </w:t>
      </w:r>
      <w:hyperlink r:id="rId30" w:history="1">
        <w:r>
          <w:rPr>
            <w:rStyle w:val="Kpr"/>
            <w:rFonts w:ascii="Times New Roman" w:hAnsi="Times New Roman" w:cs="Times New Roman"/>
          </w:rPr>
          <w:t>(Ders bilgi formları).</w:t>
        </w:r>
      </w:hyperlink>
    </w:p>
    <w:p>
      <w:pPr>
        <w:jc w:val="both"/>
        <w:rPr>
          <w:rFonts w:ascii="Times New Roman" w:hAnsi="Times New Roman" w:cs="Times New Roman"/>
        </w:rPr>
      </w:pPr>
      <w:r>
        <w:rPr>
          <w:rFonts w:ascii="Times New Roman" w:hAnsi="Times New Roman" w:cs="Times New Roman"/>
        </w:rPr>
        <w:t xml:space="preserve">Eğitim-öğretim süreçlerinin etkililiği; öğrenci geri bildirimleri, ders değerlendirmeleri ve akademik izleme mekanizmaları aracılığıyla düzenli olarak değerlendirilmesi 2026 yılı içerisinde planlanmaktadır </w:t>
      </w:r>
      <w:hyperlink w:anchor="KANIT19" w:history="1">
        <w:r>
          <w:rPr>
            <w:rStyle w:val="Kpr"/>
            <w:rFonts w:ascii="Times New Roman" w:hAnsi="Times New Roman" w:cs="Times New Roman"/>
          </w:rPr>
          <w:t>(Kanıt 19).</w:t>
        </w:r>
      </w:hyperlink>
      <w:r>
        <w:rPr>
          <w:rFonts w:ascii="Times New Roman" w:hAnsi="Times New Roman" w:cs="Times New Roman"/>
        </w:rPr>
        <w:t xml:space="preserve"> Bu kapsamda öğrencilerin derslere katılım düzeyi, öğrenme çıktılarının kazanım durumu ve kullanılan öğretim yöntemlerinin uygunluğu gözden geçirilmekte; dijital öğrenme araçlarının katkısı analiz edilmektedir. İzleme ve değerlendirme sonuçları doğrultusunda öğretim süreçlerine ilişkin gerekli iyileştirme çalışmaları planlanmakta; ders içeriklerinde uygulama ağırlığının artırılması, aktif öğrenme tekniklerinin yaygınlaştırılması ve dijital materyal çeşitliliğinin geliştirilmesine yönelik düzenlemeler yapılmaktadır.</w:t>
      </w:r>
    </w:p>
    <w:p>
      <w:pPr>
        <w:jc w:val="both"/>
        <w:rPr>
          <w:rFonts w:ascii="Times New Roman" w:hAnsi="Times New Roman" w:cs="Times New Roman"/>
        </w:rPr>
      </w:pPr>
      <w:r>
        <w:rPr>
          <w:rFonts w:ascii="Times New Roman" w:hAnsi="Times New Roman" w:cs="Times New Roman"/>
        </w:rPr>
        <w:t xml:space="preserve">Öğrencilerin teorik bilgilerini uygulama ile bütünleştirmelerini sağlamak amacıyla teknik geziler eğitim-öğretim süreçlerinin tamamlayıcı bir unsuru olarak değerlendirilmektedir </w:t>
      </w:r>
      <w:hyperlink w:anchor="KANIT23" w:history="1">
        <w:r>
          <w:rPr>
            <w:rStyle w:val="Kpr"/>
            <w:rFonts w:ascii="Times New Roman" w:hAnsi="Times New Roman" w:cs="Times New Roman"/>
          </w:rPr>
          <w:t>(Kanıt 23).</w:t>
        </w:r>
      </w:hyperlink>
      <w:r>
        <w:rPr>
          <w:rFonts w:ascii="Times New Roman" w:hAnsi="Times New Roman" w:cs="Times New Roman"/>
        </w:rPr>
        <w:t xml:space="preserve"> Teknik geziler, program çıktıları ve ders öğrenme kazanımları ile uyumlu olacak şekilde planlanmakta ve uygulanmaktadır. Bu faaliyetler aracılığıyla öğrencilerin sektör </w:t>
      </w:r>
      <w:r>
        <w:rPr>
          <w:rFonts w:ascii="Times New Roman" w:hAnsi="Times New Roman" w:cs="Times New Roman"/>
        </w:rPr>
        <w:lastRenderedPageBreak/>
        <w:t>uygulamalarını yerinde gözlemlemeleri, alanlarına ilişkin güncel gelişmeleri takip etmeleri ve sektör temsilcileriyle etkileşim kurmaları sağlanmaktadır. Gerçekleştirilen teknik gezilerin etkililiği öğrenci geri bildirimleri doğrultusunda izlenmekte; elde edilen değerlendirme sonuçlarına göre planlama ve uygulama süreçlerinde iyileştirmeler yapılmaktadır.</w:t>
      </w:r>
    </w:p>
    <w:p>
      <w:pPr>
        <w:jc w:val="both"/>
        <w:rPr>
          <w:rFonts w:ascii="Times New Roman" w:hAnsi="Times New Roman" w:cs="Times New Roman"/>
        </w:rPr>
      </w:pPr>
      <w:r>
        <w:rPr>
          <w:rFonts w:ascii="Times New Roman" w:hAnsi="Times New Roman" w:cs="Times New Roman"/>
        </w:rPr>
        <w:t xml:space="preserve">Yüksekokulumuzda öğrenci merkezli öğrenme yaklaşımını güçlendirmek amacıyla uygulama temelli ve etkileşimli öğretim yöntemleri ders süreçlerine entegre edilmektedir. Bu kapsamda özellikle Laborant ve Veteriner Sağlık Programı yürütülen uygulamalı derslerde akran öğrenmesi/akran öğretimi modeli uygulanmaktadır. Söz konusu uygulama çerçevesinde ikinci sınıf öğrencileri, laboratuvar ortamında gerçekleştirilen derslerin belirli bölümlerinde birinci sınıf öğrencilerine rehberlik etmekte; uygulama süreçlerinde bilgi ve deneyim paylaşımı sağlanmaktadır. Her hafta planlı biçimde yürütülen bu öğrenme etkinliği aracılığıyla öğrencilerin mesleki becerileri, iletişim yetkinlikleri ve uygulama farkındalıklarının geliştirilmesi hedeflenmektedir </w:t>
      </w:r>
      <w:hyperlink r:id="rId31" w:history="1">
        <w:r>
          <w:rPr>
            <w:rStyle w:val="Kpr"/>
            <w:rFonts w:ascii="Times New Roman" w:hAnsi="Times New Roman" w:cs="Times New Roman"/>
          </w:rPr>
          <w:t>(Akran öğrenmesi site haber).</w:t>
        </w:r>
      </w:hyperlink>
    </w:p>
    <w:p>
      <w:pPr>
        <w:rPr>
          <w:rFonts w:ascii="Times New Roman" w:hAnsi="Times New Roman" w:cs="Times New Roman"/>
          <w:b/>
          <w:bCs/>
        </w:rPr>
      </w:pPr>
      <w:r>
        <w:rPr>
          <w:rFonts w:ascii="Times New Roman" w:hAnsi="Times New Roman" w:cs="Times New Roman"/>
          <w:b/>
          <w:bCs/>
        </w:rPr>
        <w:t>B.2.2. Ölçme ve değerlendirme</w:t>
      </w:r>
    </w:p>
    <w:p>
      <w:pPr>
        <w:jc w:val="both"/>
        <w:rPr>
          <w:rFonts w:ascii="Times New Roman" w:hAnsi="Times New Roman" w:cs="Times New Roman"/>
        </w:rPr>
      </w:pPr>
      <w:r>
        <w:rPr>
          <w:rFonts w:ascii="Times New Roman" w:hAnsi="Times New Roman" w:cs="Times New Roman"/>
        </w:rPr>
        <w:t>Yüksekokulumuzda ölçme ve değerlendirme süreçleri, program yeterlilikleri ve ders öğrenme çıktıları esas alınarak sistematik bir yaklaşımla yürütülmektedir. Değerlendirme yöntemleri, her dersin öğretim elemanı tarafından dersin niteliği, hedeflenen öğrenme çıktıları ve program kazanımları dikkate alınarak planlanmakta; Bologna Süreci’nin öğrenci merkezli eğitim, şeffaflık ve yetkinlik temelli değerlendirme ilkeleri doğrultusunda tasarlanmaktadır. Bu kapsamda öğrencilerin bilgi, beceri ve yetkinlik kazanımlarını geçerli, güvenilir ve çok boyutlu biçimde ölçmeye yönelik çeşitli değerlendirme araçları kullanılmaktadır.</w:t>
      </w:r>
    </w:p>
    <w:p>
      <w:pPr>
        <w:jc w:val="both"/>
        <w:rPr>
          <w:rFonts w:ascii="Times New Roman" w:hAnsi="Times New Roman" w:cs="Times New Roman"/>
        </w:rPr>
      </w:pPr>
      <w:r>
        <w:rPr>
          <w:rFonts w:ascii="Times New Roman" w:hAnsi="Times New Roman" w:cs="Times New Roman"/>
        </w:rPr>
        <w:t>Planlanan ölçme ve değerlendirme stratejileri doğrultusunda yarıyıl içi sınavlar, yarıyıl sonu sınavları, proje ve ödev çalışmaları ile uygulama ve laboratuvar değerlendirmeleri ders süreçlerine entegre edilmekte; kullanılan ölçme araçları ders öğrenme çıktıları ile uyumlu olacak şekilde belirlenmektedir. Öğrenci performansları hem bireysel hem de grup bazlı çalışmalar aracılığıyla değerlendirilmekte, böylece akademik başarı ile birlikte uygulama becerileri, problem çözme yetkinliği ve iş birliği kapasitesi gibi kazanımlar da dikkate alınmaktadır. Ölçme ve değerlendirme kriterleri ders bilgi paketlerinde açık biçimde tanımlanmakta ve öğrencilere duyurulmaktadır.</w:t>
      </w:r>
    </w:p>
    <w:p>
      <w:pPr>
        <w:jc w:val="both"/>
        <w:rPr>
          <w:rFonts w:ascii="Times New Roman" w:hAnsi="Times New Roman" w:cs="Times New Roman"/>
        </w:rPr>
      </w:pPr>
      <w:r>
        <w:rPr>
          <w:rFonts w:ascii="Times New Roman" w:hAnsi="Times New Roman" w:cs="Times New Roman"/>
        </w:rPr>
        <w:t>Ölçme ve değerlendirme süreçlerinin şeffaflığını, nesnelliğini ve güvenirliğini artırmak amacıyla derslere ilişkin cevap anahtarları ile ödev ve proje çalışmalarına yönelik rubrikler hazırlanmakta; değerlendirme uygulamalarında standartlaşmanın sağlanmasına yönelik iyileştirme faaliyetleri yürütülmektedir. Bununla birlikte öğrenci başarısının öğrenme çıktılarıyla daha güçlü ilişkilendirilmesi ve çok yönlü değerlendirilmesi amacıyla ölçme ve değerlendirme yöntemlerinin çeşitlendirilmesine yönelik çalışmalar sürdürülmektedir.</w:t>
      </w:r>
    </w:p>
    <w:p>
      <w:pPr>
        <w:jc w:val="both"/>
        <w:rPr>
          <w:rFonts w:ascii="Times New Roman" w:hAnsi="Times New Roman" w:cs="Times New Roman"/>
        </w:rPr>
      </w:pPr>
      <w:r>
        <w:rPr>
          <w:rFonts w:ascii="Times New Roman" w:hAnsi="Times New Roman" w:cs="Times New Roman"/>
        </w:rPr>
        <w:t>Uygulamaların etkililiği; ders değerlendirmeleri, akademik izleme mekanizmaları ve öğrenci geri bildirimleri aracılığıyla düzenli olarak gözden geçirilmekte; elde edilen bulgular doğrultusunda ölçme araçlarının geliştirilmesi, değerlendirme kriterlerinin netleştirilmesi ve geri bildirim mekanizmalarının güçlendirilmesine yönelik iyileştirmeler planlanmakta ve uygulanmaktadır.</w:t>
      </w:r>
    </w:p>
    <w:p>
      <w:pPr>
        <w:rPr>
          <w:rFonts w:ascii="Times New Roman" w:hAnsi="Times New Roman" w:cs="Times New Roman"/>
          <w:b/>
          <w:bCs/>
        </w:rPr>
      </w:pPr>
      <w:r>
        <w:rPr>
          <w:rFonts w:ascii="Times New Roman" w:hAnsi="Times New Roman" w:cs="Times New Roman"/>
          <w:b/>
          <w:bCs/>
        </w:rPr>
        <w:lastRenderedPageBreak/>
        <w:t>B.2.3. Öğrenci kabulü ve önceki öğrenmenin tanınması ve kredilendirilmesi</w:t>
      </w:r>
    </w:p>
    <w:p>
      <w:pPr>
        <w:jc w:val="both"/>
        <w:rPr>
          <w:rFonts w:ascii="Times New Roman" w:hAnsi="Times New Roman" w:cs="Times New Roman"/>
        </w:rPr>
      </w:pPr>
      <w:r>
        <w:rPr>
          <w:rFonts w:ascii="Times New Roman" w:hAnsi="Times New Roman" w:cs="Times New Roman"/>
        </w:rPr>
        <w:t xml:space="preserve">Yüksekokulumuzda öğrenci kabul süreçleri, Yükseköğretim Kurulu (YÖK) mevzuatı ve ilgili yönetmelikler doğrultusunda şeffaf, adil ve izlenebilir bir yapı içerisinde yürütülmektedir. Öğrenciler, Yükseköğretim Kurumları Sınavı (YKS) sonuçları ve başvuru koşullarını sağlayan diğer adaylar arasından, bölüm kurulları tarafından belirlenen kontenjanlar çerçevesinde programa kabul edilmektedir. Kabul süreçleri, akademik takvim ve kurumsal düzenlemelerle uyumlu biçimde planlanmakta ve uygulanmaktadır. Bu yaklaşım, yükseköğretime erişimde fırsat eşitliğini gözetmekte ve akademik başarıyı teşvik etmeyi amaçlamaktadır </w:t>
      </w:r>
      <w:hyperlink w:anchor="KANIT24" w:history="1">
        <w:r>
          <w:rPr>
            <w:rStyle w:val="Kpr"/>
            <w:rFonts w:ascii="Times New Roman" w:hAnsi="Times New Roman" w:cs="Times New Roman"/>
          </w:rPr>
          <w:t>(Kanıt 24).</w:t>
        </w:r>
      </w:hyperlink>
    </w:p>
    <w:p>
      <w:pPr>
        <w:jc w:val="both"/>
        <w:rPr>
          <w:rFonts w:ascii="Times New Roman" w:hAnsi="Times New Roman" w:cs="Times New Roman"/>
        </w:rPr>
      </w:pPr>
      <w:r>
        <w:rPr>
          <w:rFonts w:ascii="Times New Roman" w:hAnsi="Times New Roman" w:cs="Times New Roman"/>
        </w:rPr>
        <w:t xml:space="preserve">Önceki öğrenmenin tanınması ve kredilendirilmesi süreçleri, öğrenci merkezli eğitim anlayışının ve yaşam boyu öğrenme ilkelerinin bir gereği olarak kalite güvencesi sistemi içerisinde ele alınmaktadır. Öğrencilerin daha önceki eğitim süreçlerinde edindikleri ders, yeterlilik ve kazanımlar; ders içerikleri, öğrenme çıktıları ve yeterlilik düzeyleri açısından değerlendirilmekte, programdaki derslerle eşdeğerliği ilgili bölüm/program kurulları tarafından incelenmektedir. Süreç, Bologna Süreci ilkeleri doğrultusunda AKTS (Avrupa Kredi Transfer Sistemi) ve TYYÇ (Türkiye Yükseköğretim Yeterlilikler Çerçevesi) esasları dikkate alınarak yürütülmektedir. </w:t>
      </w:r>
    </w:p>
    <w:p>
      <w:pPr>
        <w:jc w:val="both"/>
        <w:rPr>
          <w:rFonts w:ascii="Times New Roman" w:hAnsi="Times New Roman" w:cs="Times New Roman"/>
        </w:rPr>
      </w:pPr>
      <w:r>
        <w:rPr>
          <w:rFonts w:ascii="Times New Roman" w:hAnsi="Times New Roman" w:cs="Times New Roman"/>
        </w:rPr>
        <w:t xml:space="preserve">Önceki öğrenmenin tanınmasına ilişkin başvurular, öğrenciler tarafından belgelendirilmekte; ders içerikleri, kazanım düzeyleri ve öğrenme çıktıları akademik birimler ve ilgili komisyonlar tarafından değerlendirilmektedir. Yapılan incelemelerde derslerin içerik uyumu, yeterlilik seviyesi ve akademik kazanımlar dikkate alınmakta; öğretim elemanlarının görüşleri ve akademik kurul onayı doğrultusunda denklik ve kredilendirme işlemleri sonuçlandırılmaktadır. Bu değerlendirme süreci, yüksekokulumuzda uygulanan ölçme ve değerlendirme ilkeleriyle tutarlı olup öğrenme çıktısı temelli yaklaşımı esas almaktadır </w:t>
      </w:r>
      <w:hyperlink w:anchor="KANIT25" w:history="1">
        <w:r>
          <w:rPr>
            <w:rStyle w:val="Kpr"/>
            <w:rFonts w:ascii="Times New Roman" w:hAnsi="Times New Roman" w:cs="Times New Roman"/>
          </w:rPr>
          <w:t>(Kanıt 25).</w:t>
        </w:r>
      </w:hyperlink>
    </w:p>
    <w:p>
      <w:pPr>
        <w:jc w:val="both"/>
        <w:rPr>
          <w:rFonts w:ascii="Times New Roman" w:hAnsi="Times New Roman" w:cs="Times New Roman"/>
        </w:rPr>
      </w:pPr>
      <w:r>
        <w:rPr>
          <w:rFonts w:ascii="Times New Roman" w:hAnsi="Times New Roman" w:cs="Times New Roman"/>
        </w:rPr>
        <w:t xml:space="preserve">Üniversitemiz tarafından yürütülen oryantasyon programları ve akademik danışmanlık hizmetleri, öğrencilerin önceki öğrenmenin tanınması süreçleri hakkında bilgilendirilmesine ve yönlendirilmesine katkı sağlamaktadır. Bölüm ve programlar arasında uygulama birliğinin korunması amacıyla süreçler şeffaflık, adalet ve eşitlik ilkeleri çerçevesinde yürütülmekte; alınan kararlar kayıt altına alınarak izlenmektedir. Süreçlerin etkililiği düzenli olarak gözden geçirilmekte, ihtiyaç duyulan alanlarda iyileştirme çalışmaları planlanmaktadır </w:t>
      </w:r>
      <w:hyperlink w:anchor="KANIT26" w:history="1">
        <w:r>
          <w:rPr>
            <w:rStyle w:val="Kpr"/>
            <w:rFonts w:ascii="Times New Roman" w:hAnsi="Times New Roman" w:cs="Times New Roman"/>
          </w:rPr>
          <w:t>(Kanıt 26).</w:t>
        </w:r>
      </w:hyperlink>
    </w:p>
    <w:p>
      <w:pPr>
        <w:rPr>
          <w:rFonts w:ascii="Times New Roman" w:hAnsi="Times New Roman" w:cs="Times New Roman"/>
          <w:b/>
          <w:bCs/>
        </w:rPr>
      </w:pPr>
      <w:r>
        <w:rPr>
          <w:rFonts w:ascii="Times New Roman" w:hAnsi="Times New Roman" w:cs="Times New Roman"/>
          <w:b/>
          <w:bCs/>
        </w:rPr>
        <w:t>B.2.4. Yeterliliklerin sertifikalandırılması ve diploma</w:t>
      </w:r>
    </w:p>
    <w:p>
      <w:pPr>
        <w:jc w:val="both"/>
        <w:rPr>
          <w:rFonts w:ascii="Times New Roman" w:hAnsi="Times New Roman" w:cs="Times New Roman"/>
        </w:rPr>
      </w:pPr>
      <w:r>
        <w:rPr>
          <w:rFonts w:ascii="Times New Roman" w:hAnsi="Times New Roman" w:cs="Times New Roman"/>
        </w:rPr>
        <w:t>Yüksekokulumuzda öğrencilerin mezuniyet aşamasında elde ettikleri yeterliliklerin sertifikalandırılması ve belgelendirilmesine ilişkin süreçler, Yükseköğretim Kurulu (YÖK) düzenlemeleri ve Bologna Süreci ilkeleri doğrultusunda şeffaf, sistematik ve kalite güvencesi kapsamında yürütülmektedir. Öğrencilerin eğitim süresince kazandıkları bilgi, beceri ve yetkinlikler diploma, diploma eki ve ilgili belgeler aracılığıyla belgelendirilmekte; yeterliliklerin ulusal ve uluslararası düzeyde tanınırlığı desteklenmektedir.</w:t>
      </w:r>
    </w:p>
    <w:p>
      <w:pPr>
        <w:jc w:val="both"/>
        <w:rPr>
          <w:rFonts w:ascii="Times New Roman" w:hAnsi="Times New Roman" w:cs="Times New Roman"/>
        </w:rPr>
      </w:pPr>
      <w:r>
        <w:rPr>
          <w:rFonts w:ascii="Times New Roman" w:hAnsi="Times New Roman" w:cs="Times New Roman"/>
        </w:rPr>
        <w:t xml:space="preserve">Yüksekokulumuz, ön lisans düzeyinde dört yarıyıllık eğitim süresini ve en az 120 AKTS yükümlülüğünü başarıyla tamamlayan öğrencilerin mezun olduğu bir yükseköğretim kurumu </w:t>
      </w:r>
      <w:r>
        <w:rPr>
          <w:rFonts w:ascii="Times New Roman" w:hAnsi="Times New Roman" w:cs="Times New Roman"/>
        </w:rPr>
        <w:lastRenderedPageBreak/>
        <w:t xml:space="preserve">niteliği taşımaktadır. Mezuniyet, diploma, diploma eki ve diğer belgelere ilişkin iş ve işlemler; “Giresun Üniversitesi </w:t>
      </w:r>
      <w:proofErr w:type="spellStart"/>
      <w:r>
        <w:rPr>
          <w:rFonts w:ascii="Times New Roman" w:hAnsi="Times New Roman" w:cs="Times New Roman"/>
        </w:rPr>
        <w:t>Önlisans</w:t>
      </w:r>
      <w:proofErr w:type="spellEnd"/>
      <w:r>
        <w:rPr>
          <w:rFonts w:ascii="Times New Roman" w:hAnsi="Times New Roman" w:cs="Times New Roman"/>
        </w:rPr>
        <w:t xml:space="preserve"> ve Lisans Eğitim-Öğretim ve Sınav Yönetmeliği”, “Giresun Üniversitesi Diploma, Diploma Eki ve Diğer Belgelerin Düzenlenmesine İlişkin Yönerge” ile “Giresun Üniversitesi Öğrenciler ile Mezunların Başarı Sıralamaları ve Verilecek Belgelere İlişkin Yönerge” hükümleri çerçevesinde yürütülmektedir.</w:t>
      </w:r>
    </w:p>
    <w:p>
      <w:pPr>
        <w:jc w:val="both"/>
        <w:rPr>
          <w:rFonts w:ascii="Times New Roman" w:hAnsi="Times New Roman" w:cs="Times New Roman"/>
        </w:rPr>
      </w:pPr>
      <w:r>
        <w:rPr>
          <w:rFonts w:ascii="Times New Roman" w:hAnsi="Times New Roman" w:cs="Times New Roman"/>
        </w:rPr>
        <w:t xml:space="preserve">Mezuniyet süreçleri akademik ve idari birimler tarafından planlanmakta; öğrencilerin mezuniyet koşullarını sağlama durumları danışman onayı ile başlatılmakta, bölüm başkanlığı oluru doğrultusunda değerlendirilmekte ve Mezuniyet Komisyonu tarafından görüşülerek karara bağlanmaktadır. Bu çok aşamalı yapı, mezuniyet işlemlerinde akademik denetim, nesnellik ve süreç güvenilirliğini sağlamaktadır. Uygunluk sağlayan öğrencilerin diploma ve ek belgeleri ilgili mevzuat hükümleri çerçevesinde düzenlenmektedir </w:t>
      </w:r>
      <w:hyperlink w:anchor="KANIT27" w:history="1">
        <w:r>
          <w:rPr>
            <w:rStyle w:val="Kpr"/>
            <w:rFonts w:ascii="Times New Roman" w:hAnsi="Times New Roman" w:cs="Times New Roman"/>
          </w:rPr>
          <w:t>(Kanıt 27).</w:t>
        </w:r>
      </w:hyperlink>
    </w:p>
    <w:p>
      <w:pPr>
        <w:rPr>
          <w:rFonts w:ascii="Times New Roman" w:hAnsi="Times New Roman" w:cs="Times New Roman"/>
          <w:b/>
          <w:bCs/>
        </w:rPr>
      </w:pPr>
      <w:r>
        <w:rPr>
          <w:rFonts w:ascii="Times New Roman" w:hAnsi="Times New Roman" w:cs="Times New Roman"/>
          <w:b/>
          <w:bCs/>
        </w:rPr>
        <w:t>B.3.1. Öğrenme ortamı ve kaynakları</w:t>
      </w:r>
    </w:p>
    <w:p>
      <w:pPr>
        <w:jc w:val="both"/>
        <w:rPr>
          <w:rFonts w:ascii="Times New Roman" w:hAnsi="Times New Roman" w:cs="Times New Roman"/>
        </w:rPr>
      </w:pPr>
      <w:r>
        <w:rPr>
          <w:rFonts w:ascii="Times New Roman" w:hAnsi="Times New Roman" w:cs="Times New Roman"/>
        </w:rPr>
        <w:t>Yüksekokulumuzda eğitim-öğretim süreçlerinin etkinliğini desteklemek amacıyla öğrencilere ve öğretim elemanlarına yönelik öğrenme ortamları ve kaynaklar sistematik bir yaklaşımla sunulmaktadır. Bu kapsamda öğrenciler; internet erişimi, kablosuz ağ altyapısı, kütüphane hizmetleri, basılı ve dijital kaynaklar ile e-öğrenme materyallerine erişim imkânına sahiptir. Laboratuvarlar, uygulama alanları ve ders dışı çalışma ortamları öğrencilerin bireysel ve grup çalışmalarını destekleyecek şekilde kullanılmaktadır.</w:t>
      </w:r>
    </w:p>
    <w:p>
      <w:pPr>
        <w:jc w:val="both"/>
        <w:rPr>
          <w:rFonts w:ascii="Times New Roman" w:hAnsi="Times New Roman" w:cs="Times New Roman"/>
        </w:rPr>
      </w:pPr>
      <w:r>
        <w:rPr>
          <w:rFonts w:ascii="Times New Roman" w:hAnsi="Times New Roman" w:cs="Times New Roman"/>
        </w:rPr>
        <w:t>Öğrenme ortamlarının ve teknik altyapının geliştirilmesi, kalite güvencesi sistemi kapsamında düzenli olarak izlenmektedir. Sürekli İyileştirme Komisyonu tarafından yapılan değerlendirmeler doğrultusunda fiziksel mekânlar ve teknik altyapıya ilişkin öğrenci taleplerinin ilgili birimlere iletildiği ve süreçlerin sistematik biçimde takip edildiği tespit edilmiştir. Bu kapsamda özellikle laboratuvar donanımının iyileştirilmesine yönelik teknik inceleme ve donanım yenileme süreçlerinin devam ettiği, mevcut altyapının güçlendirilmesine yönelik çalışmaların sürdürüldüğü belirlenmiştir.</w:t>
      </w:r>
    </w:p>
    <w:p>
      <w:pPr>
        <w:jc w:val="both"/>
        <w:rPr>
          <w:rFonts w:ascii="Times New Roman" w:hAnsi="Times New Roman" w:cs="Times New Roman"/>
        </w:rPr>
      </w:pPr>
      <w:r>
        <w:rPr>
          <w:rFonts w:ascii="Times New Roman" w:hAnsi="Times New Roman" w:cs="Times New Roman"/>
        </w:rPr>
        <w:t xml:space="preserve">Komisyon tarafından, yürütülen iyileştirme faaliyetlerinin etkililiğinin artırılması amacıyla gerçekleştirilen çalışmaların periyodik olarak değerlendirilmesi, elde edilen sonuçların kayıt altına alınması ve ilgili paydaşlarla paylaşılmasının sürecin izlenebilirliği, şeffaflığı ve sürdürülebilirliği açısından katkı sağlayacağı değerlendirilmiştir. </w:t>
      </w:r>
    </w:p>
    <w:p>
      <w:pPr>
        <w:jc w:val="both"/>
        <w:rPr>
          <w:rFonts w:ascii="Times New Roman" w:hAnsi="Times New Roman" w:cs="Times New Roman"/>
          <w:b/>
          <w:bCs/>
        </w:rPr>
      </w:pPr>
      <w:r>
        <w:rPr>
          <w:rFonts w:ascii="Times New Roman" w:hAnsi="Times New Roman" w:cs="Times New Roman"/>
          <w:b/>
          <w:bCs/>
        </w:rPr>
        <w:t>B.3.2. Akademik destek hizmetleri</w:t>
      </w:r>
    </w:p>
    <w:p>
      <w:pPr>
        <w:jc w:val="both"/>
        <w:rPr>
          <w:rFonts w:ascii="Times New Roman" w:hAnsi="Times New Roman" w:cs="Times New Roman"/>
        </w:rPr>
      </w:pPr>
      <w:r>
        <w:rPr>
          <w:rFonts w:ascii="Times New Roman" w:hAnsi="Times New Roman" w:cs="Times New Roman"/>
        </w:rPr>
        <w:t xml:space="preserve">Yüksekokulumuzda sunulan akademik destek hizmetleri, öğrencilerin eğitim-öğretim süreçlerini etkin, verimli ve başarılı bir şekilde sürdürebilmelerini sağlamak amacıyla sistematik bir yapı içerisinde yürütülmektedir. Öğrencilerin akademik gelişimleri; Giresun Üniversitesi </w:t>
      </w:r>
      <w:proofErr w:type="spellStart"/>
      <w:r>
        <w:rPr>
          <w:rFonts w:ascii="Times New Roman" w:hAnsi="Times New Roman" w:cs="Times New Roman"/>
        </w:rPr>
        <w:t>Önlisans</w:t>
      </w:r>
      <w:proofErr w:type="spellEnd"/>
      <w:r>
        <w:rPr>
          <w:rFonts w:ascii="Times New Roman" w:hAnsi="Times New Roman" w:cs="Times New Roman"/>
        </w:rPr>
        <w:t xml:space="preserve"> ve Lisans Eğitim-Öğretim ve Sınav Yönetmeliği ile Giresun Üniversitesi </w:t>
      </w:r>
      <w:proofErr w:type="spellStart"/>
      <w:r>
        <w:rPr>
          <w:rFonts w:ascii="Times New Roman" w:hAnsi="Times New Roman" w:cs="Times New Roman"/>
        </w:rPr>
        <w:t>Önlisans</w:t>
      </w:r>
      <w:proofErr w:type="spellEnd"/>
      <w:r>
        <w:rPr>
          <w:rFonts w:ascii="Times New Roman" w:hAnsi="Times New Roman" w:cs="Times New Roman"/>
        </w:rPr>
        <w:t xml:space="preserve">/Lisans Öğrenci Danışmanlığı Yönergesi hükümleri doğrultusunda izlenmekte ve değerlendirilmektedir. Her öğrenciye atanan akademik danışmanlar aracılığıyla ders kaydı, ders seçimi, akademik ilerleme ve öğrenci hareketliliği gibi konularda rehberlik sağlanmakta; öğrencilerin karşılaşabilecekleri akademik sorunların çözümüne yönelik bireysel destek sunulmaktadır. Danışmanlık görüşmeleri belirli gün ve saatlerde gerçekleştirilmekte, görüşme saatleri öğrencilere duyurulmakta ve süreç kayıt altına alınmaktadır. Özellikle kayıt </w:t>
      </w:r>
      <w:r>
        <w:rPr>
          <w:rFonts w:ascii="Times New Roman" w:hAnsi="Times New Roman" w:cs="Times New Roman"/>
        </w:rPr>
        <w:lastRenderedPageBreak/>
        <w:t xml:space="preserve">yenileme ve ders seçimi gibi kritik dönemlerde öğrencilerin bilgilendirilmesine yönelik yönlendirme faaliyetleri yürütülmekte, ders kayıtları ve akademik duyurular kurumsal web sayfası üzerinden güncel olarak paylaşılmaktadır </w:t>
      </w:r>
      <w:hyperlink w:anchor="KANIT28" w:history="1">
        <w:r>
          <w:rPr>
            <w:rStyle w:val="Kpr"/>
            <w:rFonts w:ascii="Times New Roman" w:hAnsi="Times New Roman" w:cs="Times New Roman"/>
          </w:rPr>
          <w:t>(Kanıt 28).</w:t>
        </w:r>
      </w:hyperlink>
    </w:p>
    <w:p>
      <w:pPr>
        <w:jc w:val="both"/>
        <w:rPr>
          <w:rFonts w:ascii="Times New Roman" w:hAnsi="Times New Roman" w:cs="Times New Roman"/>
        </w:rPr>
      </w:pPr>
      <w:r>
        <w:rPr>
          <w:rFonts w:ascii="Times New Roman" w:hAnsi="Times New Roman" w:cs="Times New Roman"/>
        </w:rPr>
        <w:t xml:space="preserve">Akademik danışmanlık hizmetleri kapsamında öğrencilerden düzenli olarak geri bildirim alınmakta; iletilen talep, öneri ve sorunlar çok kademeli bir değerlendirme mekanizması içerisinde ele alınmaktadır. Danışmanlık görüşmelerinde gündeme gelen hususların bir kısmı doğrudan akademik danışman tarafından çözümlenmekte, çözüm gerektiren diğer konular bölüm başkanlığı düzeyinde değerlendirilmektedir. Bölüm düzeyinde çözülemeyen veya idari işlem gerektiren hususlar Yüksekokul Müdürlüğüne iletilmekte; gerekli görülmesi halinde ilgili konular Rektörlük makamına aktarılmaktadır. Bu yapı sayesinde öğrenci geri bildirimlerinin yalnızca kayıt altına alınması değil, aynı zamanda çözüm süreçlerine dahil edilmesi, izlenmesi ve karar alma mekanizmalarına yansıtılması sağlanmaktadır </w:t>
      </w:r>
      <w:hyperlink w:anchor="KANIT28" w:history="1">
        <w:r>
          <w:rPr>
            <w:rStyle w:val="Kpr"/>
            <w:rFonts w:ascii="Times New Roman" w:hAnsi="Times New Roman" w:cs="Times New Roman"/>
          </w:rPr>
          <w:t>(Kanıt 28).</w:t>
        </w:r>
      </w:hyperlink>
    </w:p>
    <w:p>
      <w:pPr>
        <w:jc w:val="both"/>
        <w:rPr>
          <w:rFonts w:ascii="Times New Roman" w:hAnsi="Times New Roman" w:cs="Times New Roman"/>
        </w:rPr>
      </w:pPr>
      <w:r>
        <w:rPr>
          <w:rFonts w:ascii="Times New Roman" w:hAnsi="Times New Roman" w:cs="Times New Roman"/>
        </w:rPr>
        <w:t xml:space="preserve">Öğrenci geri bildirimlerinin değerlendirilmesi sürecinde akademik danışmanlık mekanizmalarına ek olarak üniversite düzeyinde gerçekleştirilen Rektör–Öğrenci Buluşmaları da önemli bir geri bildirim ve iyileştirme aracı olarak kullanılmaktadır. Bu kapsamda öğrenciler tarafından iletilen görüş, öneri ve talepler raporlanmakta, ilgili akademik ve idari birimlerle paylaşılmakta ve iyileştirme süreçlerine dahil edilmektedir. Rektör–Öğrenci Buluşmalarından elde edilen geri bildirimler ile akademik danışmanlık süreçlerinden elde edilen bulgular birlikte değerlendirilerek kalite güvencesi sistemi içerisinde bütüncül bir yaklaşımla ele alınmaktadır </w:t>
      </w:r>
      <w:hyperlink r:id="rId32" w:history="1">
        <w:r>
          <w:rPr>
            <w:rStyle w:val="Kpr"/>
            <w:rFonts w:ascii="Times New Roman" w:hAnsi="Times New Roman" w:cs="Times New Roman"/>
          </w:rPr>
          <w:t>(Rektör öğrenci buluşması).</w:t>
        </w:r>
      </w:hyperlink>
    </w:p>
    <w:p>
      <w:pPr>
        <w:jc w:val="both"/>
        <w:rPr>
          <w:rFonts w:ascii="Times New Roman" w:hAnsi="Times New Roman" w:cs="Times New Roman"/>
        </w:rPr>
      </w:pPr>
      <w:r>
        <w:rPr>
          <w:rFonts w:ascii="Times New Roman" w:hAnsi="Times New Roman" w:cs="Times New Roman"/>
        </w:rPr>
        <w:t>Sürekli İyileştirme Komisyonu tarafından yapılan değerlendirmelerde, danışmanlık toplantıları ve üst yönetim etkileşim mekanizmaları aracılığıyla iletilen öğrenci geri bildirimlerinin ağırlıklı olarak fiziksel mekânlar, temizlik hizmetleri, teknik altyapı, yemekhane ve kantin hizmetleri ile sosyal alanlara ilişkin olduğu tespit edilmiştir. Komisyon değerlendirmesi doğrultusunda ilgili taleplerin bölüm başkanlığı ve müdürlük makamına iletildiği, bazı konularda süreç takibinin başlatıldığı belirlenmiştir. Komisyon tarafından, öğrenci geri bildirimlerinin tematik olarak sınıflandırılması, önceliklendirilmesi ve alınan aksiyonlara ilişkin sonuçların öğrencilere geri bildirim olarak sunulmasının sürecin etkililiğini artıracağı değerlendirilmiştir.</w:t>
      </w:r>
    </w:p>
    <w:p>
      <w:pPr>
        <w:jc w:val="both"/>
        <w:rPr>
          <w:rFonts w:ascii="Times New Roman" w:hAnsi="Times New Roman" w:cs="Times New Roman"/>
        </w:rPr>
      </w:pPr>
      <w:r>
        <w:rPr>
          <w:rFonts w:ascii="Times New Roman" w:hAnsi="Times New Roman" w:cs="Times New Roman"/>
        </w:rPr>
        <w:t xml:space="preserve">Öğrenci geçişleri, ders muafiyetleri ve intibak süreçleri yüksekokul bünyesinde oluşturulan Geçiş Komisyonu tarafından ilgili mevzuat çerçevesinde yürütülmektedir. Kurum içi ve kurumlar arası yatay geçiş yapan öğrencilerin intibak işlemleri gerçekleştirilmekte; öğrencilerin önceki yükseköğretim kurumlarında başarıyla tamamladıkları derslerin eşdeğerlik değerlendirmeleri yapılarak ders muafiyetleri sağlanmaktadır. Af yasaları kapsamında gelen öğrencilerin akademik uyum süreçleri de aynı sistematik çerçevede değerlendirilmektedir. Ayrıca Dikey Geçiş Sınavı (DGS) süreci ve lisans programlarına geçiş olanakları hakkında öğrencilere bilgilendirme ve rehberlik faaliyetleri sunulmakta; komisyon tarafından yürütülen iş ve işlemler ile belirlenen ihtiyaç ve öneriler Yüksekokul Yönetimine raporlanmaktadır </w:t>
      </w:r>
      <w:hyperlink w:anchor="KANIT25" w:history="1">
        <w:r>
          <w:rPr>
            <w:rStyle w:val="Kpr"/>
            <w:rFonts w:ascii="Times New Roman" w:hAnsi="Times New Roman" w:cs="Times New Roman"/>
          </w:rPr>
          <w:t>(Kanıt 25).</w:t>
        </w:r>
      </w:hyperlink>
    </w:p>
    <w:p>
      <w:pPr>
        <w:jc w:val="both"/>
        <w:rPr>
          <w:rFonts w:ascii="Times New Roman" w:hAnsi="Times New Roman" w:cs="Times New Roman"/>
        </w:rPr>
      </w:pPr>
      <w:r>
        <w:rPr>
          <w:rFonts w:ascii="Times New Roman" w:hAnsi="Times New Roman" w:cs="Times New Roman"/>
        </w:rPr>
        <w:t xml:space="preserve">Uluslararasılaşma politikaları doğrultusunda Erasmus Koordinatörlüğü tarafından Erasmus Değişim Programı kapsamındaki öğrenci ve öğretim elemanı hareketliliği süreçleri </w:t>
      </w:r>
      <w:r>
        <w:rPr>
          <w:rFonts w:ascii="Times New Roman" w:hAnsi="Times New Roman" w:cs="Times New Roman"/>
        </w:rPr>
        <w:lastRenderedPageBreak/>
        <w:t xml:space="preserve">yürütülmektedir. Koordinatörlük tarafından öğrencilere ve akademik personele program hakkında bilgilendirme yapılmakta; programa seçilen öğrencilerin hazırlık, oryantasyon ve akademik süreçleri takip edilmektedir. Program kapsamında gelen öğrencilerin bilgilendirme, uyum, öğrenim protokollerinin hazırlanması ve dosyalama işlemleri sistematik biçimde gerçekleştirilmektedir </w:t>
      </w:r>
      <w:hyperlink w:anchor="KANIT29" w:history="1">
        <w:r>
          <w:rPr>
            <w:rStyle w:val="Kpr"/>
            <w:rFonts w:ascii="Times New Roman" w:hAnsi="Times New Roman" w:cs="Times New Roman"/>
          </w:rPr>
          <w:t>(Kanıt 29).</w:t>
        </w:r>
      </w:hyperlink>
    </w:p>
    <w:p>
      <w:pPr>
        <w:jc w:val="both"/>
        <w:rPr>
          <w:rFonts w:ascii="Times New Roman" w:hAnsi="Times New Roman" w:cs="Times New Roman"/>
        </w:rPr>
      </w:pPr>
      <w:r>
        <w:rPr>
          <w:rFonts w:ascii="Times New Roman" w:hAnsi="Times New Roman" w:cs="Times New Roman"/>
        </w:rPr>
        <w:t xml:space="preserve">Öğrencilerin yükseköğretim ortamına uyumunu desteklemek amacıyla Uyum ve Oryantasyon Komisyonu tarafından dönem başlarında bilgilendirme ve yönlendirme faaliyetleri yürütülmekte; öğrencilerin akademik ve sosyal adaptasyon süreçleri desteklenmektedir </w:t>
      </w:r>
      <w:hyperlink w:anchor="KANIT30" w:history="1">
        <w:r>
          <w:rPr>
            <w:rStyle w:val="Kpr"/>
            <w:rFonts w:ascii="Times New Roman" w:hAnsi="Times New Roman" w:cs="Times New Roman"/>
          </w:rPr>
          <w:t>(Kanıt 30).</w:t>
        </w:r>
      </w:hyperlink>
      <w:r>
        <w:rPr>
          <w:rFonts w:ascii="Times New Roman" w:hAnsi="Times New Roman" w:cs="Times New Roman"/>
        </w:rPr>
        <w:t xml:space="preserve"> Bununla birlikte Sektörel İş Birliği Komisyonu aracılığıyla öğrencilerin sektörle etkileşimi güçlendirilmekte; staj, kariyer fırsatları ve mesleki gelişim olanaklarına yönelik çalışmalar gerçekleştirilmektedir. Komisyon tarafından sektör kuruluşları ile iş birliği geliştirilmekte, öğrenci katılımını artırmaya yönelik etkinlikler teşvik edilmekte ve elde edilen değerlendirme sonuçları Yüksekokul Yönetimine raporlanmaktadır </w:t>
      </w:r>
      <w:hyperlink w:anchor="KANIT31" w:history="1">
        <w:r>
          <w:rPr>
            <w:rStyle w:val="Kpr"/>
            <w:rFonts w:ascii="Times New Roman" w:hAnsi="Times New Roman" w:cs="Times New Roman"/>
          </w:rPr>
          <w:t>(Kanıt 31).</w:t>
        </w:r>
      </w:hyperlink>
    </w:p>
    <w:p>
      <w:pPr>
        <w:jc w:val="both"/>
        <w:rPr>
          <w:rFonts w:ascii="Times New Roman" w:hAnsi="Times New Roman" w:cs="Times New Roman"/>
          <w:b/>
          <w:bCs/>
        </w:rPr>
      </w:pPr>
      <w:r>
        <w:rPr>
          <w:rFonts w:ascii="Times New Roman" w:hAnsi="Times New Roman" w:cs="Times New Roman"/>
          <w:b/>
          <w:bCs/>
        </w:rPr>
        <w:t>B.3.3. Tesis ve altyapılar</w:t>
      </w:r>
    </w:p>
    <w:p>
      <w:pPr>
        <w:jc w:val="both"/>
        <w:rPr>
          <w:rFonts w:ascii="Times New Roman" w:hAnsi="Times New Roman" w:cs="Times New Roman"/>
        </w:rPr>
      </w:pPr>
      <w:r>
        <w:rPr>
          <w:rFonts w:ascii="Times New Roman" w:hAnsi="Times New Roman" w:cs="Times New Roman"/>
        </w:rPr>
        <w:t>Yüksekokulumuzda öğrencilerin ve öğretim elemanlarının eğitim-öğretim faaliyetlerini etkin ve verimli bir şekilde sürdürebilmelerini desteklemek amacıyla fiziksel mekânlar ve teknik altyapı olanakları sistematik bir yaklaşımla sunulmaktadır. Bir önceki değerlendirme döneminde raporlanan tesis ve altyapı olanaklarında önemli bir değişiklik bulunmamakta olup mevcut derslik, laboratuvar ve uygulama alanları eğitim-öğretim süreçlerini destekleyecek şekilde kullanılmaya devam etmektedir. Bu kapsamda derslikler projeksiyon ve sunum altyapıları ile donatılmış olup bilgisayar laboratuvarları, uygulama laboratuvarları, atölyeler ve konferans salonu öğrencilerin teorik ve uygulamalı öğrenme süreçlerine katkı sağlamaktadır.</w:t>
      </w:r>
    </w:p>
    <w:p>
      <w:pPr>
        <w:jc w:val="both"/>
        <w:rPr>
          <w:rFonts w:ascii="Times New Roman" w:hAnsi="Times New Roman" w:cs="Times New Roman"/>
        </w:rPr>
      </w:pPr>
      <w:r>
        <w:rPr>
          <w:rFonts w:ascii="Times New Roman" w:hAnsi="Times New Roman" w:cs="Times New Roman"/>
        </w:rPr>
        <w:t xml:space="preserve">Laboratuvar ve uygulama alanlarının etkin kullanımı, ilgili sorumlular ve komisyonlar tarafından planlanmakta ve izlenmektedir. Veteriner Uygulama Laboratuvarı ve Klinik uygulama süreçlerinde uygulama yerleri, tarihleri ve uygulama esasları öğrencilerin talepleri ve derslerin öğrenme çıktıları dikkate alınarak belirlenmekte; uygulamaların eğitim hedefleriyle uyumlu biçimde yürütülmesi sağlanmaktadır. Benzer şekilde medya atölyesi, radyo odası, anatomi laboratuvarı ve bilgisayar laboratuvarlarının düzeni, kullanım planlaması, teknik ihtiyaçları ve demirbaş takibi sorumlu akademik/idari personel tarafından yürütülmektedir. Bilgisayar laboratuvarlarında donanım ve yazılım altyapısının güncelliği izlenmekte, ihtiyaç duyulan bakım ve iyileştirme çalışmaları planlanmaktadır </w:t>
      </w:r>
      <w:hyperlink w:anchor="KANIT32" w:history="1">
        <w:r>
          <w:rPr>
            <w:rStyle w:val="Kpr"/>
            <w:rFonts w:ascii="Times New Roman" w:hAnsi="Times New Roman" w:cs="Times New Roman"/>
          </w:rPr>
          <w:t>(Kanıt 32).</w:t>
        </w:r>
      </w:hyperlink>
      <w:r>
        <w:rPr>
          <w:rFonts w:ascii="Times New Roman" w:hAnsi="Times New Roman" w:cs="Times New Roman"/>
        </w:rPr>
        <w:t xml:space="preserve"> Radyo odasına ilişkin kullanım durumunun sınırlı olduğu değerlendirilmiş olup alanın daha etkin kullanımına yönelik iyileştirme ihtiyacı birimin gelişmeye açık yönleri arasında yer almaktadır.</w:t>
      </w:r>
    </w:p>
    <w:p>
      <w:pPr>
        <w:jc w:val="both"/>
        <w:rPr>
          <w:rFonts w:ascii="Times New Roman" w:hAnsi="Times New Roman" w:cs="Times New Roman"/>
        </w:rPr>
      </w:pPr>
      <w:r>
        <w:rPr>
          <w:rFonts w:ascii="Times New Roman" w:hAnsi="Times New Roman" w:cs="Times New Roman"/>
        </w:rPr>
        <w:t xml:space="preserve">Fiziksel altyapının sürdürülebilirliğini sağlamak amacıyla bakım, onarım ve iyileştirme faaliyetleri ilgili birimler ile koordinasyon içerisinde yürütülmektedir. Önceki dönemde gerçekleştirilen konferans salonunun genişletilmesi, derslik demirbaşlarının iyileştirilmesi ve ofis alanlarının artırılmasına yönelik çalışmalar eğitim ortamlarının niteliğini destekleyen uygulamalar olarak değerlendirilmektedir. Mevcut dönemde ise öğrenci geri bildirimleri ve </w:t>
      </w:r>
      <w:r>
        <w:rPr>
          <w:rFonts w:ascii="Times New Roman" w:hAnsi="Times New Roman" w:cs="Times New Roman"/>
        </w:rPr>
        <w:lastRenderedPageBreak/>
        <w:t>komisyon değerlendirmeleri doğrultusunda tesis ve altyapıya yönelik iyileştirme ihtiyaçlarının izlenmesine devam edilmektedir.</w:t>
      </w:r>
    </w:p>
    <w:p>
      <w:pPr>
        <w:jc w:val="both"/>
        <w:rPr>
          <w:rFonts w:ascii="Times New Roman" w:hAnsi="Times New Roman" w:cs="Times New Roman"/>
        </w:rPr>
      </w:pPr>
      <w:r>
        <w:rPr>
          <w:rFonts w:ascii="Times New Roman" w:hAnsi="Times New Roman" w:cs="Times New Roman"/>
        </w:rPr>
        <w:t xml:space="preserve">Teknik Altyapı ve Bilişim Komisyonu tarafından bilgisayar laboratuvarlarının teknik durumu, donanım ve yazılım ihtiyaçları ile internet altyapısına ilişkin süreçler düzenli olarak takip edilmekte; öğretim elemanları ve öğrencilerden gelen talepler doğrultusunda değerlendirmeler yapılmaktadır. Eğitim faaliyetlerinin kesintisiz yürütülmesini sağlamak amacıyla bilişim altyapısının güvenliği ve işlevselliği gözetilmektedir </w:t>
      </w:r>
      <w:hyperlink w:anchor="KANIT32" w:history="1">
        <w:r>
          <w:rPr>
            <w:rStyle w:val="Kpr"/>
            <w:rFonts w:ascii="Times New Roman" w:hAnsi="Times New Roman" w:cs="Times New Roman"/>
          </w:rPr>
          <w:t>(Kanıt 32).</w:t>
        </w:r>
      </w:hyperlink>
    </w:p>
    <w:p>
      <w:pPr>
        <w:jc w:val="both"/>
        <w:rPr>
          <w:rFonts w:ascii="Times New Roman" w:hAnsi="Times New Roman" w:cs="Times New Roman"/>
        </w:rPr>
      </w:pPr>
      <w:r>
        <w:rPr>
          <w:rFonts w:ascii="Times New Roman" w:hAnsi="Times New Roman" w:cs="Times New Roman"/>
        </w:rPr>
        <w:t>Erişilebilirlik ve güvenlik unsurları kapsamında bina girişlerinde engelli rampaları ve yangın güvenliğine ilişkin önlemler bulunmaktadır. Yangın merdivenine ilişkin mevcut durum Sürekli İyileştirme Komisyonu değerlendirmelerinde gelişmeye açık bir alan olarak ele alınmış; Yapı İşleri Teknik Daire Başkanlığı ile gerekli iyileştirmelere yönelik iş birliği başlatılmıştır. Ödenek temin edilmesi halinde yangın merdivenlerinin düzenlenmesi ve öğrenci giriş alanlarının iyileştirilmesine yönelik mevcut yılda da çalışmaların devam edeceği bildirilmiştir.</w:t>
      </w:r>
    </w:p>
    <w:p>
      <w:pPr>
        <w:rPr>
          <w:rFonts w:ascii="Times New Roman" w:hAnsi="Times New Roman" w:cs="Times New Roman"/>
          <w:b/>
          <w:bCs/>
        </w:rPr>
      </w:pPr>
      <w:r>
        <w:rPr>
          <w:rFonts w:ascii="Times New Roman" w:hAnsi="Times New Roman" w:cs="Times New Roman"/>
          <w:b/>
          <w:bCs/>
        </w:rPr>
        <w:t>B.3.4. Dezavantajlı gruplar</w:t>
      </w:r>
    </w:p>
    <w:p>
      <w:pPr>
        <w:jc w:val="both"/>
        <w:rPr>
          <w:rFonts w:ascii="Times New Roman" w:hAnsi="Times New Roman" w:cs="Times New Roman"/>
        </w:rPr>
      </w:pPr>
      <w:r>
        <w:rPr>
          <w:rFonts w:ascii="Times New Roman" w:hAnsi="Times New Roman" w:cs="Times New Roman"/>
        </w:rPr>
        <w:t>Yüksekokulumuzda dezavantajlı grupların eğitim-öğretim süreçlerine tam ve etkin katılımını desteklemek amacıyla erişilebilirlik ve kapsayıcılık odaklı uygulamalar yürütülmektedir. Bu kapsamda özel gereksinimli bireylerin fiziksel mekânlara erişimini kolaylaştırmak amacıyla asansör, rampa ve erişilebilir lavabo gibi altyapı düzenlemeleri sağlanmış; eğitim ortamlarına eşit ve güvenli erişim hedeflenmiştir.</w:t>
      </w:r>
    </w:p>
    <w:p>
      <w:pPr>
        <w:jc w:val="both"/>
        <w:rPr>
          <w:rFonts w:ascii="Times New Roman" w:hAnsi="Times New Roman" w:cs="Times New Roman"/>
        </w:rPr>
      </w:pPr>
      <w:r>
        <w:rPr>
          <w:rFonts w:ascii="Times New Roman" w:hAnsi="Times New Roman" w:cs="Times New Roman"/>
        </w:rPr>
        <w:t>Önceki dönemlerde gerçekleştirilen bakım ve onarım çalışmaları ile engelli rampaları, öğrenci girişleri ve yangın merdivenlerine yönelik iyileştirmeler yapılmış; söz konusu düzenlemeler öğrenci ihtiyaçları ve erişilebilirlik ilkeleri doğrultusunda ele alınmıştır. Mevcut değerlendirme döneminde fiziksel erişilebilirlik uygulamalarının sürdürüldüğü, önemli bir yapısal değişiklik olmadığı, ancak öğrenci geri bildirimleri doğrultusunda iyileştirme çalışmalarının planlanmaya devam ettiği görülmektedir.</w:t>
      </w:r>
    </w:p>
    <w:p>
      <w:pPr>
        <w:jc w:val="both"/>
        <w:rPr>
          <w:rFonts w:ascii="Times New Roman" w:hAnsi="Times New Roman" w:cs="Times New Roman"/>
        </w:rPr>
      </w:pPr>
      <w:r>
        <w:rPr>
          <w:rFonts w:ascii="Times New Roman" w:hAnsi="Times New Roman" w:cs="Times New Roman"/>
        </w:rPr>
        <w:t xml:space="preserve">Birimimizde faaliyet gösteren Engelsiz Birim Danışmanlığı aracılığıyla engelli öğrencilerin akademik, idari, fiziksel ve sosyal alanlara ilişkin ihtiyaçları belirlenmekte; bu ihtiyaçların karşılanmasına yönelik planlama, uygulama ve izleme faaliyetleri yürütülmektedir. Engelsiz Birim Danışmanlığı tarafından öğrencilerin karşılaşabilecekleri engellerin tespit edilmesi, çözüm önerilerinin geliştirilmesi ve ilgili akademik/idari birimlerle iş birliği içerisinde iyileştirme çalışmalarının yürütülmesi sağlanmaktadır. Ayrıca engelli öğrencilerin ölçme ve değerlendirme süreçlerinde adalet, eşitlik ve fırsat eşitliği ilkelerinin gözetilmesine yönelik uygulamalar geliştirilmektedir </w:t>
      </w:r>
      <w:hyperlink w:anchor="KANIT33" w:history="1">
        <w:r>
          <w:rPr>
            <w:rStyle w:val="Kpr"/>
            <w:rFonts w:ascii="Times New Roman" w:hAnsi="Times New Roman" w:cs="Times New Roman"/>
          </w:rPr>
          <w:t>(Kanıt 33).</w:t>
        </w:r>
      </w:hyperlink>
    </w:p>
    <w:p>
      <w:pPr>
        <w:jc w:val="both"/>
        <w:rPr>
          <w:rFonts w:ascii="Times New Roman" w:hAnsi="Times New Roman" w:cs="Times New Roman"/>
        </w:rPr>
      </w:pPr>
      <w:r>
        <w:rPr>
          <w:rFonts w:ascii="Times New Roman" w:hAnsi="Times New Roman" w:cs="Times New Roman"/>
        </w:rPr>
        <w:t xml:space="preserve">Dezavantajlı öğrencilerin yalnızca akademik değil, sosyal ve ekonomik koşullarının iyileştirilmesi de kalite güvencesi yaklaşımının önemli bir bileşeni olarak ele alınmaktadır. Bu doğrultuda burs ve kısmi zamanlı çalışma komisyonu aracılığıyla ihtiyaç sahibi öğrenciler desteklenmekte; değerlendirme süreçleri adil ve şeffaf ilkeler çerçevesinde yürütülmektedir </w:t>
      </w:r>
      <w:hyperlink w:anchor="KANIT33" w:history="1">
        <w:r>
          <w:rPr>
            <w:rStyle w:val="Kpr"/>
            <w:rFonts w:ascii="Times New Roman" w:hAnsi="Times New Roman" w:cs="Times New Roman"/>
          </w:rPr>
          <w:t>(Kanıt 33).</w:t>
        </w:r>
      </w:hyperlink>
      <w:r>
        <w:rPr>
          <w:rFonts w:ascii="Times New Roman" w:hAnsi="Times New Roman" w:cs="Times New Roman"/>
        </w:rPr>
        <w:t xml:space="preserve"> Bununla birlikte öğrencilerin psikolojik destek hizmetlerine erişimini desteklemeye yönelik rehberlik ve yönlendirme mekanizmaları işletilmektedir.</w:t>
      </w:r>
    </w:p>
    <w:p>
      <w:pPr>
        <w:jc w:val="both"/>
        <w:rPr>
          <w:rFonts w:ascii="Times New Roman" w:hAnsi="Times New Roman" w:cs="Times New Roman"/>
          <w:b/>
          <w:bCs/>
        </w:rPr>
      </w:pPr>
      <w:r>
        <w:rPr>
          <w:rFonts w:ascii="Times New Roman" w:hAnsi="Times New Roman" w:cs="Times New Roman"/>
          <w:b/>
          <w:bCs/>
        </w:rPr>
        <w:lastRenderedPageBreak/>
        <w:t>B.3.5. Sosyal, kültürel ve sportif faaliyetler</w:t>
      </w:r>
    </w:p>
    <w:p>
      <w:pPr>
        <w:jc w:val="both"/>
        <w:rPr>
          <w:rFonts w:ascii="Times New Roman" w:hAnsi="Times New Roman" w:cs="Times New Roman"/>
        </w:rPr>
      </w:pPr>
      <w:r>
        <w:rPr>
          <w:rFonts w:ascii="Times New Roman" w:hAnsi="Times New Roman" w:cs="Times New Roman"/>
        </w:rPr>
        <w:t>Yüksekokulumuz, öğrencilerin kişisel gelişimlerini desteklemek ve sosyal etkileşimlerini güçlendirmek amacıyla sosyal, kültürel ve sportif faaliyetleri teşvik eden bir yaklaşım benimsemektedir. İlçe Gençlik ve Spor Hizmetleri Müdürlüğü ile yürütülen iş birliği kapsamında öğrenciler spor salonlarından belirli gün ve saatlerde yararlanabilmekte; üniversite bünyesinde faaliyet gösteren kulüp ve topluluklara katılım yoluyla öğrencilerin sosyal ve kültürel gelişimleri desteklenmektedir. Yüksekokul düzeyinde düzenlenen etkinlikler, öğrencilerin sanat, kültür ve spor alanlarında yetkinlik kazanmalarına katkı sağlamaktadır.</w:t>
      </w:r>
    </w:p>
    <w:p>
      <w:pPr>
        <w:jc w:val="both"/>
        <w:rPr>
          <w:rFonts w:ascii="Times New Roman" w:hAnsi="Times New Roman" w:cs="Times New Roman"/>
        </w:rPr>
      </w:pPr>
      <w:r>
        <w:rPr>
          <w:rFonts w:ascii="Times New Roman" w:hAnsi="Times New Roman" w:cs="Times New Roman"/>
        </w:rPr>
        <w:t xml:space="preserve">Sosyal, Kültürel ve Akademik Etkinlikler Komisyonu tarafından teknik geziler, sosyal etkinlikler, kutlamalar ve mezuniyet törenlerine ilişkin organizasyon süreçleri yürütülmekte; bilimsel etkinliklerin planlanması ve uygulanması sağlanmaktadır. Komisyon tarafından gerçekleştirilen faaliyetler ile belirlenen ihtiyaç ve öneriler Yüksekokul Yönetimine raporlanmaktadır </w:t>
      </w:r>
      <w:hyperlink w:anchor="KANIT26" w:history="1">
        <w:r>
          <w:rPr>
            <w:rStyle w:val="Kpr"/>
            <w:rFonts w:ascii="Times New Roman" w:hAnsi="Times New Roman" w:cs="Times New Roman"/>
          </w:rPr>
          <w:t>(Kanıt 26).</w:t>
        </w:r>
      </w:hyperlink>
    </w:p>
    <w:p>
      <w:pPr>
        <w:jc w:val="both"/>
        <w:rPr>
          <w:rFonts w:ascii="Times New Roman" w:hAnsi="Times New Roman" w:cs="Times New Roman"/>
        </w:rPr>
      </w:pPr>
      <w:r>
        <w:rPr>
          <w:rFonts w:ascii="Times New Roman" w:hAnsi="Times New Roman" w:cs="Times New Roman"/>
        </w:rPr>
        <w:t xml:space="preserve">Yüksekokulumuz bünyesinde yer alan öğrenci toplulukları aracılığıyla yürütülen sosyal ve kültürel faaliyetler, öğrencilerin toplumsal sorumluluk bilincinin gelişmesine, sosyal etkileşimlerinin artmasına ve kültürel farkındalıklarının güçlenmesine katkı sunmaktadır </w:t>
      </w:r>
      <w:hyperlink w:anchor="KANIT26" w:history="1">
        <w:r>
          <w:rPr>
            <w:rStyle w:val="Kpr"/>
            <w:rFonts w:ascii="Times New Roman" w:hAnsi="Times New Roman" w:cs="Times New Roman"/>
          </w:rPr>
          <w:t>(Kanıt 26).</w:t>
        </w:r>
      </w:hyperlink>
    </w:p>
    <w:p>
      <w:pPr>
        <w:jc w:val="both"/>
        <w:rPr>
          <w:rFonts w:ascii="Times New Roman" w:hAnsi="Times New Roman" w:cs="Times New Roman"/>
        </w:rPr>
      </w:pPr>
      <w:r>
        <w:rPr>
          <w:rFonts w:ascii="Times New Roman" w:hAnsi="Times New Roman" w:cs="Times New Roman"/>
        </w:rPr>
        <w:t xml:space="preserve">Önceki değerlendirme döneminde kamu tasarruf tedbirleri doğrultusunda teknik gezilerin sayısında azalma yaşanmış; ilgili dönemde sınırlı sayıda teknik gezi gerçekleştirilebilmiştir </w:t>
      </w:r>
      <w:hyperlink w:anchor="KANIT34" w:history="1">
        <w:r>
          <w:rPr>
            <w:rStyle w:val="Kpr"/>
            <w:rFonts w:ascii="Times New Roman" w:hAnsi="Times New Roman" w:cs="Times New Roman"/>
          </w:rPr>
          <w:t>(Kanıt 34).</w:t>
        </w:r>
      </w:hyperlink>
      <w:r>
        <w:rPr>
          <w:rFonts w:ascii="Times New Roman" w:hAnsi="Times New Roman" w:cs="Times New Roman"/>
        </w:rPr>
        <w:t xml:space="preserve"> Mevcut değerlendirme döneminde ise öğrenci geri bildirimleri ve akademik birim değerlendirmeleri doğrultusunda teknik gezilerin yeniden planlanmasına yönelik çalışmalar sürdürülmektedir.</w:t>
      </w:r>
    </w:p>
    <w:p>
      <w:pPr>
        <w:jc w:val="both"/>
        <w:rPr>
          <w:rFonts w:ascii="Times New Roman" w:hAnsi="Times New Roman" w:cs="Times New Roman"/>
          <w:b/>
          <w:bCs/>
        </w:rPr>
      </w:pPr>
      <w:r>
        <w:rPr>
          <w:rFonts w:ascii="Times New Roman" w:hAnsi="Times New Roman" w:cs="Times New Roman"/>
          <w:b/>
          <w:bCs/>
        </w:rPr>
        <w:t>B.4. Öğretim Kadrosu</w:t>
      </w:r>
    </w:p>
    <w:p>
      <w:pPr>
        <w:jc w:val="both"/>
        <w:rPr>
          <w:rFonts w:ascii="Times New Roman" w:hAnsi="Times New Roman" w:cs="Times New Roman"/>
          <w:b/>
          <w:bCs/>
        </w:rPr>
      </w:pPr>
      <w:r>
        <w:rPr>
          <w:rFonts w:ascii="Times New Roman" w:hAnsi="Times New Roman" w:cs="Times New Roman"/>
          <w:b/>
          <w:bCs/>
        </w:rPr>
        <w:t>B.4.1. Atama, yükseltme ve görevlendirme kriterleri</w:t>
      </w:r>
    </w:p>
    <w:p>
      <w:pPr>
        <w:jc w:val="both"/>
        <w:rPr>
          <w:rFonts w:ascii="Times New Roman" w:hAnsi="Times New Roman" w:cs="Times New Roman"/>
        </w:rPr>
      </w:pPr>
      <w:r>
        <w:rPr>
          <w:rFonts w:ascii="Times New Roman" w:hAnsi="Times New Roman" w:cs="Times New Roman"/>
        </w:rPr>
        <w:t xml:space="preserve">Yükseköğretimde kalite güvencesinin temel unsurlarından biri, akademik kadroya ilişkin süreçlerin liyakat, şeffaflık ve hesap verebilirlik ilkeleri doğrultusunda yürütülmesidir. Üniversitemizde ve özelde yüksekokulumuzda öğretim elemanlarının atama, yükseltme ve görevlendirme süreçleri başta 2547 sayılı Yükseköğretim Kanunu olmak üzere ilgili mevzuat hükümleri çerçevesinde gerçekleştirilmektedir. Bu süreçlerde öğretim elemanlarının akademik ve mesleki yeterlilikleri esas alınmakta, belirlenen objektif kriterler doğrultusunda değerlendirme yapılmaktadır </w:t>
      </w:r>
      <w:hyperlink w:anchor="KANIT35" w:history="1">
        <w:r>
          <w:rPr>
            <w:rStyle w:val="Kpr"/>
            <w:rFonts w:ascii="Times New Roman" w:hAnsi="Times New Roman" w:cs="Times New Roman"/>
          </w:rPr>
          <w:t>(Kanıt 35).</w:t>
        </w:r>
      </w:hyperlink>
    </w:p>
    <w:p>
      <w:pPr>
        <w:jc w:val="both"/>
        <w:rPr>
          <w:rFonts w:ascii="Times New Roman" w:hAnsi="Times New Roman" w:cs="Times New Roman"/>
        </w:rPr>
      </w:pPr>
      <w:r>
        <w:rPr>
          <w:rFonts w:ascii="Times New Roman" w:hAnsi="Times New Roman" w:cs="Times New Roman"/>
        </w:rPr>
        <w:t xml:space="preserve">Yüksekokulumuzda akademik kadro planlamaları norm kadro yönetimi ilkeleri kapsamında yürütülmekte; görevlendirme, kadro aktarımı ve geçici görevlendirme işlemleri ilgili kurulların değerlendirme ve kararları doğrultusunda gerçekleştirilmektedir. 13/b-4 maddesi kapsamında yapılan geçici görevlendirmeler ile kadro aktarım talepleri kalite güvencesi mekanizmaları çerçevesinde ele alınmakta olup 2025 yılı içerisinde bu kapsamdaki işlemlere ilişkin herhangi bir talep oluşmamıştır. Çevrim içi derslere ilişkin görevlendirme ve ders </w:t>
      </w:r>
      <w:r>
        <w:rPr>
          <w:rFonts w:ascii="Times New Roman" w:hAnsi="Times New Roman" w:cs="Times New Roman"/>
        </w:rPr>
        <w:lastRenderedPageBreak/>
        <w:t>yürütme süreçleri ise öğretim elemanlarının gerekçeli talepleri doğrultusunda bölüm kurulları, Yüksekokul Kurulu ve Üniversite Senatosu kararları ile güvence altına alınmaktadır.</w:t>
      </w:r>
    </w:p>
    <w:p>
      <w:pPr>
        <w:jc w:val="both"/>
        <w:rPr>
          <w:rFonts w:ascii="Times New Roman" w:hAnsi="Times New Roman" w:cs="Times New Roman"/>
        </w:rPr>
      </w:pPr>
      <w:r>
        <w:rPr>
          <w:rFonts w:ascii="Times New Roman" w:hAnsi="Times New Roman" w:cs="Times New Roman"/>
        </w:rPr>
        <w:t xml:space="preserve">Bölüm başkanı atama süreçlerinde öğretim elemanlarının görüş ve önerilerinin alınması, katılımcı yönetim anlayışının ve akademik yönetişim ilkelerinin bir gereği olarak uygulanmaktadır. Bu kapsamda öğretim elemanlarının görüşleri toplantılar ve yazılı bildirimler aracılığıyla değerlendirilmekte; adayların akademik ve yönetsel yetkinlikleri dikkate alınarak süreç şeffaf biçimde yürütülmektedir </w:t>
      </w:r>
      <w:hyperlink w:anchor="KANIT36" w:history="1">
        <w:r>
          <w:rPr>
            <w:rStyle w:val="Kpr"/>
            <w:rFonts w:ascii="Times New Roman" w:hAnsi="Times New Roman" w:cs="Times New Roman"/>
          </w:rPr>
          <w:t>(Kanıt 36).</w:t>
        </w:r>
      </w:hyperlink>
    </w:p>
    <w:p>
      <w:pPr>
        <w:jc w:val="both"/>
        <w:rPr>
          <w:rFonts w:ascii="Times New Roman" w:hAnsi="Times New Roman" w:cs="Times New Roman"/>
        </w:rPr>
      </w:pPr>
      <w:r>
        <w:rPr>
          <w:rFonts w:ascii="Times New Roman" w:hAnsi="Times New Roman" w:cs="Times New Roman"/>
        </w:rPr>
        <w:t>Akademik kadro süreçlerinin etkililiğinin artırılması amacıyla güncel akademik gereksinimlerin belirlenmesi, insan kaynakları planlamasının güçlendirilmesi ve öğretim elemanlarının kariyer gelişimini destekleyecek mekanizmaların geliştirilmesi hedeflenmektedir. Bu kapsamda bölüm kurulları tarafından belirlenen ihtiyaçlar ilgili birimlere iletilmekte ve süreçler kalite güvencesi yaklaşımı çerçevesinde izlenmektedir.</w:t>
      </w:r>
    </w:p>
    <w:p>
      <w:pPr>
        <w:jc w:val="both"/>
        <w:rPr>
          <w:rFonts w:ascii="Times New Roman" w:hAnsi="Times New Roman" w:cs="Times New Roman"/>
        </w:rPr>
      </w:pPr>
    </w:p>
    <w:p>
      <w:pPr>
        <w:jc w:val="both"/>
        <w:rPr>
          <w:rFonts w:ascii="Times New Roman" w:hAnsi="Times New Roman" w:cs="Times New Roman"/>
          <w:b/>
          <w:bCs/>
        </w:rPr>
      </w:pPr>
      <w:r>
        <w:rPr>
          <w:rFonts w:ascii="Times New Roman" w:hAnsi="Times New Roman" w:cs="Times New Roman"/>
          <w:b/>
          <w:bCs/>
        </w:rPr>
        <w:t>B.4.2. Öğretim yetkinlikleri ve gelişimi</w:t>
      </w:r>
    </w:p>
    <w:p>
      <w:pPr>
        <w:jc w:val="both"/>
        <w:rPr>
          <w:rFonts w:ascii="Times New Roman" w:hAnsi="Times New Roman" w:cs="Times New Roman"/>
        </w:rPr>
      </w:pPr>
      <w:r>
        <w:rPr>
          <w:rFonts w:ascii="Times New Roman" w:hAnsi="Times New Roman" w:cs="Times New Roman"/>
        </w:rPr>
        <w:t xml:space="preserve">Eğitim-öğretim faaliyetlerinin niteliğini güvence altına almak amacıyla ders görevlendirmeleri öğretim elemanlarının uzmanlık alanları, akademik geçmişleri ve mesleki deneyimleri dikkate alınarak bölüm kurul kararları doğrultusunda yapılmaktadır. Süreç, Yüksekokul Kurulu tarafından değerlendirilerek karar altına alınmaktadır </w:t>
      </w:r>
      <w:hyperlink w:anchor="KANIT16" w:history="1">
        <w:r>
          <w:rPr>
            <w:rStyle w:val="Kpr"/>
            <w:rFonts w:ascii="Times New Roman" w:hAnsi="Times New Roman" w:cs="Times New Roman"/>
          </w:rPr>
          <w:t>(Kanıt 16).</w:t>
        </w:r>
      </w:hyperlink>
    </w:p>
    <w:p>
      <w:pPr>
        <w:jc w:val="both"/>
        <w:rPr>
          <w:rFonts w:ascii="Times New Roman" w:hAnsi="Times New Roman" w:cs="Times New Roman"/>
        </w:rPr>
      </w:pPr>
      <w:r>
        <w:rPr>
          <w:rFonts w:ascii="Times New Roman" w:hAnsi="Times New Roman" w:cs="Times New Roman"/>
        </w:rPr>
        <w:t>Bazı programlarda alanında uzman öğretim elemanı ihtiyacına ilişkin hususlar Sürekli İyileştirme Komisyonu tarafından değerlendirilmiş; akademik kadro taleplerinin norm kadro planlaması kapsamında program hedefleri, alan yeterlilikleri ve ders içerikleri doğrultusunda ele alınmasının kalite güvencesi açısından önem arz ettiği belirtilmiştir. Bu kapsamda öğretim elemanı niteliklerinin bölüm kurulları tarafından tanımlanması, gerekçelendirilmesi ve ilgili birimlerle paylaşılmasının karar alma süreçlerinde şeffaflık ve katılımcılığı güçlendireceği değerlendirilmiştir.</w:t>
      </w:r>
    </w:p>
    <w:p>
      <w:pPr>
        <w:jc w:val="both"/>
        <w:rPr>
          <w:rFonts w:ascii="Times New Roman" w:hAnsi="Times New Roman" w:cs="Times New Roman"/>
        </w:rPr>
      </w:pPr>
      <w:r>
        <w:rPr>
          <w:rFonts w:ascii="Times New Roman" w:hAnsi="Times New Roman" w:cs="Times New Roman"/>
        </w:rPr>
        <w:t xml:space="preserve">Öğretim elemanlarının mesleki ve akademik gelişimlerinin desteklenmesi yüksekokulumuzun kalite politikaları arasında yer almakta olup bilimsel araştırma, yayın faaliyetleri, kongre ve sempozyum katılımları ile proje çalışmalarına katılım teşvik edilmektedir. Elde edilen akademik birikimin eğitim-öğretim süreçlerine yansıtılması önemsenmektedir </w:t>
      </w:r>
      <w:hyperlink w:anchor="KANIT37" w:history="1">
        <w:r>
          <w:rPr>
            <w:rStyle w:val="Kpr"/>
            <w:rFonts w:ascii="Times New Roman" w:hAnsi="Times New Roman" w:cs="Times New Roman"/>
          </w:rPr>
          <w:t>(Kanıt 37</w:t>
        </w:r>
      </w:hyperlink>
      <w:r>
        <w:rPr>
          <w:rFonts w:ascii="Times New Roman" w:hAnsi="Times New Roman" w:cs="Times New Roman"/>
        </w:rPr>
        <w:t xml:space="preserve">, </w:t>
      </w:r>
      <w:hyperlink r:id="rId33" w:history="1">
        <w:r>
          <w:rPr>
            <w:rStyle w:val="Kpr"/>
            <w:rFonts w:ascii="Times New Roman" w:hAnsi="Times New Roman" w:cs="Times New Roman"/>
          </w:rPr>
          <w:t>Kanıt 38).</w:t>
        </w:r>
      </w:hyperlink>
    </w:p>
    <w:p>
      <w:pPr>
        <w:jc w:val="both"/>
        <w:rPr>
          <w:rFonts w:ascii="Times New Roman" w:hAnsi="Times New Roman" w:cs="Times New Roman"/>
        </w:rPr>
      </w:pPr>
      <w:r>
        <w:rPr>
          <w:rFonts w:ascii="Times New Roman" w:hAnsi="Times New Roman" w:cs="Times New Roman"/>
        </w:rPr>
        <w:t xml:space="preserve">Ayrıca öğretim elemanlarının pedagojik ve dijital yetkinliklerini geliştirmeye yönelik hizmet içi eğitim faaliyetlerinin artırılması, öğrenci geri bildirimleri doğrultusunda öğretim yöntemlerinin geliştirilmesi ve yenilikçi öğrenme yaklaşımlarının ders süreçlerine entegrasyonu hedeflenmektedir. Bu uygulamalar kalite güvencesi sistemi kapsamında sürekli iyileştirme yaklaşımıyla ele alınmaktadır. </w:t>
      </w:r>
    </w:p>
    <w:p>
      <w:pPr>
        <w:jc w:val="both"/>
        <w:rPr>
          <w:rFonts w:ascii="Times New Roman" w:hAnsi="Times New Roman" w:cs="Times New Roman"/>
        </w:rPr>
      </w:pPr>
      <w:r>
        <w:rPr>
          <w:rFonts w:ascii="Times New Roman" w:hAnsi="Times New Roman" w:cs="Times New Roman"/>
        </w:rPr>
        <w:t xml:space="preserve">Birimimizde görev yapmakta olan öğretim elemanlarının mesleki ve akademik yetkinliklerinin geliştirilmesi kapsamında akreditasyon süreçlerine katılımları desteklenmektedir. Bu çerçevede öğretim elemanlarımız, ilgili dernekler ve akreditasyon kuruluşları bünyesinde değerlendirici olarak görev almaktadır. 2025 yılı içerisinde birimimiz </w:t>
      </w:r>
      <w:r>
        <w:rPr>
          <w:rFonts w:ascii="Times New Roman" w:hAnsi="Times New Roman" w:cs="Times New Roman"/>
        </w:rPr>
        <w:lastRenderedPageBreak/>
        <w:t xml:space="preserve">öğretim elemanları, üç farklı üniversitede gerçekleştirilen akreditasyon değerlendirme süreçlerinde program akreditasyon değerlendiricisi olarak görev yapmıştır </w:t>
      </w:r>
      <w:hyperlink r:id="rId34" w:history="1">
        <w:r>
          <w:rPr>
            <w:rStyle w:val="Kpr"/>
            <w:rFonts w:ascii="Times New Roman" w:hAnsi="Times New Roman" w:cs="Times New Roman"/>
          </w:rPr>
          <w:t>(Kanıt 39).</w:t>
        </w:r>
      </w:hyperlink>
    </w:p>
    <w:p>
      <w:pPr>
        <w:jc w:val="both"/>
        <w:rPr>
          <w:rFonts w:ascii="Times New Roman" w:hAnsi="Times New Roman" w:cs="Times New Roman"/>
          <w:b/>
          <w:bCs/>
        </w:rPr>
      </w:pPr>
      <w:r>
        <w:rPr>
          <w:rFonts w:ascii="Times New Roman" w:hAnsi="Times New Roman" w:cs="Times New Roman"/>
          <w:b/>
          <w:bCs/>
        </w:rPr>
        <w:t>B.4.3. Eğitim faaliyetlerine yönelik teşvik ve ödüllendirme</w:t>
      </w:r>
    </w:p>
    <w:p>
      <w:pPr>
        <w:jc w:val="both"/>
        <w:rPr>
          <w:rFonts w:ascii="Times New Roman" w:hAnsi="Times New Roman" w:cs="Times New Roman"/>
        </w:rPr>
      </w:pPr>
      <w:r>
        <w:rPr>
          <w:rFonts w:ascii="Times New Roman" w:hAnsi="Times New Roman" w:cs="Times New Roman"/>
        </w:rPr>
        <w:t>Akademik teşvik ve ödüllendirme mekanizmaları öğretim elemanlarının bilimsel üretkenliğini ve eğitim kalitesine katkılarını destekleyen önemli araçlar arasında yer almaktadır. Üniversitemiz genelinde ve yüksekokulumuz özelinde öğretim elemanlarına akademik yayın, bilimsel proje ve bilimsel etkinlik katılımlarına yönelik destekler sağlanmaktadır.</w:t>
      </w:r>
    </w:p>
    <w:p>
      <w:pPr>
        <w:jc w:val="both"/>
        <w:rPr>
          <w:rFonts w:ascii="Times New Roman" w:hAnsi="Times New Roman" w:cs="Times New Roman"/>
        </w:rPr>
      </w:pPr>
      <w:r>
        <w:rPr>
          <w:rFonts w:ascii="Times New Roman" w:hAnsi="Times New Roman" w:cs="Times New Roman"/>
        </w:rPr>
        <w:t xml:space="preserve">Akademik teşvik süreçleri; “Akademik Teşvik Ödeneği Yönetmeliği”, “Giresun Üniversitesi Yurtiçi ve Yurtdışı Bilimsel Etkinliklere Katılımı Destekleme Yönergesi”, “Bilimsel Araştırma Projeleri Hazırlama, Değerlendirme ve İzleme Yönergesi” ve “Giresun Üniversitesi Ödül Yönergesi” hükümleri çerçevesinde yürütülmektedir. Bu kapsamda Akademik Teşvik Komisyonu oluşturulmuş ve süreçler ilgili mevzuat doğrultusunda izlenmektedir </w:t>
      </w:r>
      <w:hyperlink w:anchor="KANIT37" w:history="1">
        <w:r>
          <w:rPr>
            <w:rStyle w:val="Kpr"/>
            <w:rFonts w:ascii="Times New Roman" w:hAnsi="Times New Roman" w:cs="Times New Roman"/>
          </w:rPr>
          <w:t>(Kanıt 37).</w:t>
        </w:r>
      </w:hyperlink>
    </w:p>
    <w:p>
      <w:pPr>
        <w:jc w:val="both"/>
        <w:rPr>
          <w:rFonts w:ascii="Times New Roman" w:hAnsi="Times New Roman" w:cs="Times New Roman"/>
        </w:rPr>
      </w:pPr>
      <w:r>
        <w:rPr>
          <w:rFonts w:ascii="Times New Roman" w:hAnsi="Times New Roman" w:cs="Times New Roman"/>
        </w:rPr>
        <w:t>Mevcut teşvik mekanizmalarının etkililiğinin artırılması amacıyla teşvik ve ödüllendirme uygulamalarının çeşitlendirilmesi, başvuru süreçlerinin erişilebilirliğinin artırılması ve akademik motivasyonu destekleyici iç uygulamaların geliştirilmesi gelişmeye açık yönler arasında değerlendirilmektedir. Bu doğrultuda kalite güvencesi sistemi kapsamında iyileştirme çalışmalarının planlanması hedeflenmektedir.</w:t>
      </w:r>
    </w:p>
    <w:p>
      <w:pPr>
        <w:jc w:val="both"/>
        <w:rPr>
          <w:rFonts w:ascii="Times New Roman" w:hAnsi="Times New Roman" w:cs="Times New Roman"/>
          <w:b/>
          <w:bCs/>
        </w:rPr>
      </w:pPr>
      <w:r>
        <w:rPr>
          <w:rFonts w:ascii="Times New Roman" w:hAnsi="Times New Roman" w:cs="Times New Roman"/>
          <w:b/>
          <w:bCs/>
        </w:rPr>
        <w:t xml:space="preserve">Güçlü Yönler </w:t>
      </w:r>
    </w:p>
    <w:p>
      <w:pPr>
        <w:numPr>
          <w:ilvl w:val="0"/>
          <w:numId w:val="3"/>
        </w:numPr>
        <w:jc w:val="both"/>
        <w:rPr>
          <w:rFonts w:ascii="Times New Roman" w:hAnsi="Times New Roman" w:cs="Times New Roman"/>
        </w:rPr>
      </w:pPr>
      <w:r>
        <w:rPr>
          <w:rFonts w:ascii="Times New Roman" w:hAnsi="Times New Roman" w:cs="Times New Roman"/>
        </w:rPr>
        <w:t>Program tasarımı ve onay süreçlerinin ilgili mevzuat, kurumsal işleyiş ve kalite güvencesi anlayışı çerçevesinde şeffaf ve izlenebilir biçimde yürütülmesi</w:t>
      </w:r>
    </w:p>
    <w:p>
      <w:pPr>
        <w:numPr>
          <w:ilvl w:val="0"/>
          <w:numId w:val="3"/>
        </w:numPr>
        <w:jc w:val="both"/>
        <w:rPr>
          <w:rFonts w:ascii="Times New Roman" w:hAnsi="Times New Roman" w:cs="Times New Roman"/>
        </w:rPr>
      </w:pPr>
      <w:r>
        <w:rPr>
          <w:rFonts w:ascii="Times New Roman" w:hAnsi="Times New Roman" w:cs="Times New Roman"/>
        </w:rPr>
        <w:t>Program amaç ve hedeflerinin stratejik plan, bölgesel ihtiyaçlar ve paydaş beklentileri doğrultusunda değerlendirilmesi</w:t>
      </w:r>
    </w:p>
    <w:p>
      <w:pPr>
        <w:numPr>
          <w:ilvl w:val="0"/>
          <w:numId w:val="3"/>
        </w:numPr>
        <w:jc w:val="both"/>
        <w:rPr>
          <w:rFonts w:ascii="Times New Roman" w:hAnsi="Times New Roman" w:cs="Times New Roman"/>
        </w:rPr>
      </w:pPr>
      <w:r>
        <w:rPr>
          <w:rFonts w:ascii="Times New Roman" w:hAnsi="Times New Roman" w:cs="Times New Roman"/>
        </w:rPr>
        <w:t>2025 yılında paydaş katılımlı değerlendirme uygulamalarının program düzeyinde yaygınlaştırılmış olması</w:t>
      </w:r>
    </w:p>
    <w:p>
      <w:pPr>
        <w:numPr>
          <w:ilvl w:val="0"/>
          <w:numId w:val="3"/>
        </w:numPr>
        <w:jc w:val="both"/>
        <w:rPr>
          <w:rFonts w:ascii="Times New Roman" w:hAnsi="Times New Roman" w:cs="Times New Roman"/>
        </w:rPr>
      </w:pPr>
      <w:r>
        <w:rPr>
          <w:rFonts w:ascii="Times New Roman" w:hAnsi="Times New Roman" w:cs="Times New Roman"/>
        </w:rPr>
        <w:t>Ders dağılımlarının bölüm kurulları aracılığıyla akademik uzmanlık, ders öğrenme çıktıları ve kuramsal/uygulamalı denge esas alınarak belirlenmesi</w:t>
      </w:r>
    </w:p>
    <w:p>
      <w:pPr>
        <w:numPr>
          <w:ilvl w:val="0"/>
          <w:numId w:val="3"/>
        </w:numPr>
        <w:jc w:val="both"/>
        <w:rPr>
          <w:rFonts w:ascii="Times New Roman" w:hAnsi="Times New Roman" w:cs="Times New Roman"/>
        </w:rPr>
      </w:pPr>
      <w:r>
        <w:rPr>
          <w:rFonts w:ascii="Times New Roman" w:hAnsi="Times New Roman" w:cs="Times New Roman"/>
        </w:rPr>
        <w:t>Ders planlarında kuramsal–uygulamalı ders dengesi, zorunlu–seçmeli ders oranları ve AKTS uyumluluğunun gözetilmesi</w:t>
      </w:r>
    </w:p>
    <w:p>
      <w:pPr>
        <w:numPr>
          <w:ilvl w:val="0"/>
          <w:numId w:val="3"/>
        </w:numPr>
        <w:jc w:val="both"/>
        <w:rPr>
          <w:rFonts w:ascii="Times New Roman" w:hAnsi="Times New Roman" w:cs="Times New Roman"/>
        </w:rPr>
      </w:pPr>
      <w:r>
        <w:rPr>
          <w:rFonts w:ascii="Times New Roman" w:hAnsi="Times New Roman" w:cs="Times New Roman"/>
        </w:rPr>
        <w:t>Teknik gezilerin uygulamalı öğrenmeyi ve sektörle etkileşimi destekleyen tamamlayıcı eğitim aracı olarak kullanılması</w:t>
      </w:r>
    </w:p>
    <w:p>
      <w:pPr>
        <w:numPr>
          <w:ilvl w:val="0"/>
          <w:numId w:val="3"/>
        </w:numPr>
        <w:jc w:val="both"/>
        <w:rPr>
          <w:rFonts w:ascii="Times New Roman" w:hAnsi="Times New Roman" w:cs="Times New Roman"/>
        </w:rPr>
      </w:pPr>
      <w:r>
        <w:rPr>
          <w:rFonts w:ascii="Times New Roman" w:hAnsi="Times New Roman" w:cs="Times New Roman"/>
        </w:rPr>
        <w:t>Staj süreçlerinin Staj Eğitim ve Uygulama Kurulu tarafından planlanması, izlenmesi ve kalite güvencesi kapsamında yürütülmesi</w:t>
      </w:r>
    </w:p>
    <w:p>
      <w:pPr>
        <w:numPr>
          <w:ilvl w:val="0"/>
          <w:numId w:val="3"/>
        </w:numPr>
        <w:jc w:val="both"/>
        <w:rPr>
          <w:rFonts w:ascii="Times New Roman" w:hAnsi="Times New Roman" w:cs="Times New Roman"/>
        </w:rPr>
      </w:pPr>
      <w:r>
        <w:rPr>
          <w:rFonts w:ascii="Times New Roman" w:hAnsi="Times New Roman" w:cs="Times New Roman"/>
        </w:rPr>
        <w:t>Ders kazanımlarının program çıktılarıyla TYYÇ, EQF ve UYÇ çerçeveleri doğrultusunda ilişkilendirilmiş olması</w:t>
      </w:r>
    </w:p>
    <w:p>
      <w:pPr>
        <w:numPr>
          <w:ilvl w:val="0"/>
          <w:numId w:val="3"/>
        </w:numPr>
        <w:jc w:val="both"/>
        <w:rPr>
          <w:rFonts w:ascii="Times New Roman" w:hAnsi="Times New Roman" w:cs="Times New Roman"/>
        </w:rPr>
      </w:pPr>
      <w:r>
        <w:rPr>
          <w:rFonts w:ascii="Times New Roman" w:hAnsi="Times New Roman" w:cs="Times New Roman"/>
        </w:rPr>
        <w:t>Ders bilgi paketlerinin/kataloglarının güncellenmiş ve kamuoyu ile paylaşılmış olması</w:t>
      </w:r>
    </w:p>
    <w:p>
      <w:pPr>
        <w:numPr>
          <w:ilvl w:val="0"/>
          <w:numId w:val="3"/>
        </w:numPr>
        <w:jc w:val="both"/>
        <w:rPr>
          <w:rFonts w:ascii="Times New Roman" w:hAnsi="Times New Roman" w:cs="Times New Roman"/>
        </w:rPr>
      </w:pPr>
      <w:r>
        <w:rPr>
          <w:rFonts w:ascii="Times New Roman" w:hAnsi="Times New Roman" w:cs="Times New Roman"/>
        </w:rPr>
        <w:t>Öğrenci iş yüküne dayalı ders tasarımında AKTS ilkelerinin esas alınması</w:t>
      </w:r>
    </w:p>
    <w:p>
      <w:pPr>
        <w:numPr>
          <w:ilvl w:val="0"/>
          <w:numId w:val="3"/>
        </w:numPr>
        <w:jc w:val="both"/>
        <w:rPr>
          <w:rFonts w:ascii="Times New Roman" w:hAnsi="Times New Roman" w:cs="Times New Roman"/>
        </w:rPr>
      </w:pPr>
      <w:r>
        <w:rPr>
          <w:rFonts w:ascii="Times New Roman" w:hAnsi="Times New Roman" w:cs="Times New Roman"/>
        </w:rPr>
        <w:lastRenderedPageBreak/>
        <w:t>Ölçme ve değerlendirme yöntemlerinde çok boyutlu ve öğrenci merkezli yaklaşımların benimsenmesi</w:t>
      </w:r>
    </w:p>
    <w:p>
      <w:pPr>
        <w:numPr>
          <w:ilvl w:val="0"/>
          <w:numId w:val="3"/>
        </w:numPr>
        <w:jc w:val="both"/>
        <w:rPr>
          <w:rFonts w:ascii="Times New Roman" w:hAnsi="Times New Roman" w:cs="Times New Roman"/>
        </w:rPr>
      </w:pPr>
      <w:r>
        <w:rPr>
          <w:rFonts w:ascii="Times New Roman" w:hAnsi="Times New Roman" w:cs="Times New Roman"/>
        </w:rPr>
        <w:t>Rubrik ve cevap anahtarı gibi araçlarla değerlendirme süreçlerinde şeffaflık ve nesnelliğin desteklenmesi</w:t>
      </w:r>
    </w:p>
    <w:p>
      <w:pPr>
        <w:numPr>
          <w:ilvl w:val="0"/>
          <w:numId w:val="3"/>
        </w:numPr>
        <w:jc w:val="both"/>
        <w:rPr>
          <w:rFonts w:ascii="Times New Roman" w:hAnsi="Times New Roman" w:cs="Times New Roman"/>
        </w:rPr>
      </w:pPr>
      <w:r>
        <w:rPr>
          <w:rFonts w:ascii="Times New Roman" w:hAnsi="Times New Roman" w:cs="Times New Roman"/>
        </w:rPr>
        <w:t>Öğrenci kabulü, muafiyet ve intibak süreçlerinin mevzuata dayalı ve izlenebilir biçimde yürütülmesi</w:t>
      </w:r>
    </w:p>
    <w:p>
      <w:pPr>
        <w:numPr>
          <w:ilvl w:val="0"/>
          <w:numId w:val="3"/>
        </w:numPr>
        <w:jc w:val="both"/>
        <w:rPr>
          <w:rFonts w:ascii="Times New Roman" w:hAnsi="Times New Roman" w:cs="Times New Roman"/>
        </w:rPr>
      </w:pPr>
      <w:r>
        <w:rPr>
          <w:rFonts w:ascii="Times New Roman" w:hAnsi="Times New Roman" w:cs="Times New Roman"/>
        </w:rPr>
        <w:t>Mezuniyet, diploma ve diploma eki süreçlerinin çok aşamalı akademik denetim mekanizması ile güvence altına alınması</w:t>
      </w:r>
    </w:p>
    <w:p>
      <w:pPr>
        <w:numPr>
          <w:ilvl w:val="0"/>
          <w:numId w:val="3"/>
        </w:numPr>
        <w:jc w:val="both"/>
        <w:rPr>
          <w:rFonts w:ascii="Times New Roman" w:hAnsi="Times New Roman" w:cs="Times New Roman"/>
        </w:rPr>
      </w:pPr>
      <w:r>
        <w:rPr>
          <w:rFonts w:ascii="Times New Roman" w:hAnsi="Times New Roman" w:cs="Times New Roman"/>
        </w:rPr>
        <w:t>Öğrenme ortamları, laboratuvarlar ve teknik altyapının eğitim-öğretimi destekleyici biçimde kullanılması</w:t>
      </w:r>
    </w:p>
    <w:p>
      <w:pPr>
        <w:numPr>
          <w:ilvl w:val="0"/>
          <w:numId w:val="3"/>
        </w:numPr>
        <w:jc w:val="both"/>
        <w:rPr>
          <w:rFonts w:ascii="Times New Roman" w:hAnsi="Times New Roman" w:cs="Times New Roman"/>
        </w:rPr>
      </w:pPr>
      <w:r>
        <w:rPr>
          <w:rFonts w:ascii="Times New Roman" w:hAnsi="Times New Roman" w:cs="Times New Roman"/>
        </w:rPr>
        <w:t>Akademik danışmanlık sisteminin öğrencilerin akademik gelişimini destekleyecek şekilde aktif işletilmesi</w:t>
      </w:r>
    </w:p>
    <w:p>
      <w:pPr>
        <w:numPr>
          <w:ilvl w:val="0"/>
          <w:numId w:val="3"/>
        </w:numPr>
        <w:jc w:val="both"/>
        <w:rPr>
          <w:rFonts w:ascii="Times New Roman" w:hAnsi="Times New Roman" w:cs="Times New Roman"/>
        </w:rPr>
      </w:pPr>
      <w:r>
        <w:rPr>
          <w:rFonts w:ascii="Times New Roman" w:hAnsi="Times New Roman" w:cs="Times New Roman"/>
        </w:rPr>
        <w:t>Öğrenci geri bildirimlerinin danışmanlık ve üst yönetim etkileşim mekanizmaları aracılığıyla toplanması</w:t>
      </w:r>
    </w:p>
    <w:p>
      <w:pPr>
        <w:numPr>
          <w:ilvl w:val="0"/>
          <w:numId w:val="3"/>
        </w:numPr>
        <w:jc w:val="both"/>
        <w:rPr>
          <w:rFonts w:ascii="Times New Roman" w:hAnsi="Times New Roman" w:cs="Times New Roman"/>
        </w:rPr>
      </w:pPr>
      <w:r>
        <w:rPr>
          <w:rFonts w:ascii="Times New Roman" w:hAnsi="Times New Roman" w:cs="Times New Roman"/>
        </w:rPr>
        <w:t>Dezavantajlı gruplara yönelik erişilebilirlik ve kapsayıcılık uygulamalarının sürdürülmesi</w:t>
      </w:r>
    </w:p>
    <w:p>
      <w:pPr>
        <w:numPr>
          <w:ilvl w:val="0"/>
          <w:numId w:val="3"/>
        </w:numPr>
        <w:jc w:val="both"/>
        <w:rPr>
          <w:rFonts w:ascii="Times New Roman" w:hAnsi="Times New Roman" w:cs="Times New Roman"/>
        </w:rPr>
      </w:pPr>
      <w:r>
        <w:rPr>
          <w:rFonts w:ascii="Times New Roman" w:hAnsi="Times New Roman" w:cs="Times New Roman"/>
        </w:rPr>
        <w:t>Sosyal, kültürel ve sportif faaliyetlerin öğrenci gelişimini destekleyici biçimde teşvik edilmesi</w:t>
      </w:r>
    </w:p>
    <w:p>
      <w:pPr>
        <w:numPr>
          <w:ilvl w:val="0"/>
          <w:numId w:val="3"/>
        </w:numPr>
        <w:jc w:val="both"/>
        <w:rPr>
          <w:rFonts w:ascii="Times New Roman" w:hAnsi="Times New Roman" w:cs="Times New Roman"/>
        </w:rPr>
      </w:pPr>
      <w:r>
        <w:rPr>
          <w:rFonts w:ascii="Times New Roman" w:hAnsi="Times New Roman" w:cs="Times New Roman"/>
        </w:rPr>
        <w:t>Öğretim elemanlarının ders görevlendirmelerinin uzmanlık alanı ve akademik yeterlilik esasına dayalı yapılması</w:t>
      </w:r>
    </w:p>
    <w:p>
      <w:pPr>
        <w:numPr>
          <w:ilvl w:val="0"/>
          <w:numId w:val="3"/>
        </w:numPr>
        <w:jc w:val="both"/>
        <w:rPr>
          <w:rFonts w:ascii="Times New Roman" w:hAnsi="Times New Roman" w:cs="Times New Roman"/>
        </w:rPr>
      </w:pPr>
      <w:r>
        <w:rPr>
          <w:rFonts w:ascii="Times New Roman" w:hAnsi="Times New Roman" w:cs="Times New Roman"/>
        </w:rPr>
        <w:t>Öğretim elemanlarının akademik, mesleki ve akreditasyon süreçlerine katılımının desteklenmesi</w:t>
      </w:r>
    </w:p>
    <w:p>
      <w:pPr>
        <w:numPr>
          <w:ilvl w:val="0"/>
          <w:numId w:val="3"/>
        </w:numPr>
        <w:jc w:val="both"/>
        <w:rPr>
          <w:rFonts w:ascii="Times New Roman" w:hAnsi="Times New Roman" w:cs="Times New Roman"/>
        </w:rPr>
      </w:pPr>
      <w:r>
        <w:rPr>
          <w:rFonts w:ascii="Times New Roman" w:hAnsi="Times New Roman" w:cs="Times New Roman"/>
        </w:rPr>
        <w:t>2025 yılında öğretim elemanlarının akreditasyon değerlendirme süreçlerinde görev almış olması</w:t>
      </w:r>
    </w:p>
    <w:p>
      <w:pPr>
        <w:numPr>
          <w:ilvl w:val="0"/>
          <w:numId w:val="3"/>
        </w:numPr>
        <w:jc w:val="both"/>
        <w:rPr>
          <w:rFonts w:ascii="Times New Roman" w:hAnsi="Times New Roman" w:cs="Times New Roman"/>
        </w:rPr>
      </w:pPr>
      <w:r>
        <w:rPr>
          <w:rFonts w:ascii="Times New Roman" w:hAnsi="Times New Roman" w:cs="Times New Roman"/>
        </w:rPr>
        <w:t>Akademik teşvik ve destek mekanizmalarının kurumsal düzeyde işletilmesi</w:t>
      </w:r>
    </w:p>
    <w:p>
      <w:pPr>
        <w:jc w:val="both"/>
        <w:rPr>
          <w:rFonts w:ascii="Times New Roman" w:hAnsi="Times New Roman" w:cs="Times New Roman"/>
          <w:b/>
          <w:bCs/>
        </w:rPr>
      </w:pPr>
      <w:r>
        <w:rPr>
          <w:rFonts w:ascii="Times New Roman" w:hAnsi="Times New Roman" w:cs="Times New Roman"/>
          <w:b/>
          <w:bCs/>
        </w:rPr>
        <w:t xml:space="preserve">Gelişmeye Açık Yönler </w:t>
      </w:r>
    </w:p>
    <w:p>
      <w:pPr>
        <w:numPr>
          <w:ilvl w:val="0"/>
          <w:numId w:val="4"/>
        </w:numPr>
        <w:jc w:val="both"/>
        <w:rPr>
          <w:rFonts w:ascii="Times New Roman" w:hAnsi="Times New Roman" w:cs="Times New Roman"/>
        </w:rPr>
      </w:pPr>
      <w:r>
        <w:rPr>
          <w:rFonts w:ascii="Times New Roman" w:hAnsi="Times New Roman" w:cs="Times New Roman"/>
        </w:rPr>
        <w:t>Program izleme ve güncelleme süreçlerinin düzenli veri analizi ve ölçülebilir performans göstergeleri ile daha sistematik hale getirilmesi</w:t>
      </w:r>
    </w:p>
    <w:p>
      <w:pPr>
        <w:numPr>
          <w:ilvl w:val="0"/>
          <w:numId w:val="4"/>
        </w:numPr>
        <w:jc w:val="both"/>
        <w:rPr>
          <w:rFonts w:ascii="Times New Roman" w:hAnsi="Times New Roman" w:cs="Times New Roman"/>
        </w:rPr>
      </w:pPr>
      <w:r>
        <w:rPr>
          <w:rFonts w:ascii="Times New Roman" w:hAnsi="Times New Roman" w:cs="Times New Roman"/>
        </w:rPr>
        <w:t>Paydaş katılımının tüm programlarda eşit düzeyde yaygınlaştırılması</w:t>
      </w:r>
    </w:p>
    <w:p>
      <w:pPr>
        <w:numPr>
          <w:ilvl w:val="0"/>
          <w:numId w:val="4"/>
        </w:numPr>
        <w:jc w:val="both"/>
        <w:rPr>
          <w:rFonts w:ascii="Times New Roman" w:hAnsi="Times New Roman" w:cs="Times New Roman"/>
        </w:rPr>
      </w:pPr>
      <w:r>
        <w:rPr>
          <w:rFonts w:ascii="Times New Roman" w:hAnsi="Times New Roman" w:cs="Times New Roman"/>
        </w:rPr>
        <w:t>Paydaş geri bildirimlerinin müfredat ve ders içeriklerine yansımasının daha görünür hale getirilmesi</w:t>
      </w:r>
    </w:p>
    <w:p>
      <w:pPr>
        <w:numPr>
          <w:ilvl w:val="0"/>
          <w:numId w:val="4"/>
        </w:numPr>
        <w:jc w:val="both"/>
        <w:rPr>
          <w:rFonts w:ascii="Times New Roman" w:hAnsi="Times New Roman" w:cs="Times New Roman"/>
        </w:rPr>
      </w:pPr>
      <w:r>
        <w:rPr>
          <w:rFonts w:ascii="Times New Roman" w:hAnsi="Times New Roman" w:cs="Times New Roman"/>
        </w:rPr>
        <w:t>Teknik gezilerin sayısının ve çeşitliliğinin artırılması</w:t>
      </w:r>
    </w:p>
    <w:p>
      <w:pPr>
        <w:numPr>
          <w:ilvl w:val="0"/>
          <w:numId w:val="4"/>
        </w:numPr>
        <w:jc w:val="both"/>
        <w:rPr>
          <w:rFonts w:ascii="Times New Roman" w:hAnsi="Times New Roman" w:cs="Times New Roman"/>
        </w:rPr>
      </w:pPr>
      <w:r>
        <w:rPr>
          <w:rFonts w:ascii="Times New Roman" w:hAnsi="Times New Roman" w:cs="Times New Roman"/>
        </w:rPr>
        <w:t>Staj süreçlerinde öğrenci ve iş yeri geri bildirimlerinin sistematik veri setine dönüştürülmesi</w:t>
      </w:r>
    </w:p>
    <w:p>
      <w:pPr>
        <w:numPr>
          <w:ilvl w:val="0"/>
          <w:numId w:val="4"/>
        </w:numPr>
        <w:jc w:val="both"/>
        <w:rPr>
          <w:rFonts w:ascii="Times New Roman" w:hAnsi="Times New Roman" w:cs="Times New Roman"/>
        </w:rPr>
      </w:pPr>
      <w:r>
        <w:rPr>
          <w:rFonts w:ascii="Times New Roman" w:hAnsi="Times New Roman" w:cs="Times New Roman"/>
        </w:rPr>
        <w:lastRenderedPageBreak/>
        <w:t>Ders kazanımları ile program çıktıları arasındaki uyumun ölçülmesine yönelik değerlendirme araçlarının güçlendirilmesi</w:t>
      </w:r>
    </w:p>
    <w:p>
      <w:pPr>
        <w:numPr>
          <w:ilvl w:val="0"/>
          <w:numId w:val="4"/>
        </w:numPr>
        <w:jc w:val="both"/>
        <w:rPr>
          <w:rFonts w:ascii="Times New Roman" w:hAnsi="Times New Roman" w:cs="Times New Roman"/>
        </w:rPr>
      </w:pPr>
      <w:r>
        <w:rPr>
          <w:rFonts w:ascii="Times New Roman" w:hAnsi="Times New Roman" w:cs="Times New Roman"/>
        </w:rPr>
        <w:t>AKTS ve öğrenci iş yükü hesaplamalarının öğrenci geri bildirimleri ile düzenli doğrulanması</w:t>
      </w:r>
    </w:p>
    <w:p>
      <w:pPr>
        <w:numPr>
          <w:ilvl w:val="0"/>
          <w:numId w:val="4"/>
        </w:numPr>
        <w:jc w:val="both"/>
        <w:rPr>
          <w:rFonts w:ascii="Times New Roman" w:hAnsi="Times New Roman" w:cs="Times New Roman"/>
        </w:rPr>
      </w:pPr>
      <w:r>
        <w:rPr>
          <w:rFonts w:ascii="Times New Roman" w:hAnsi="Times New Roman" w:cs="Times New Roman"/>
        </w:rPr>
        <w:t>Ölçme ve değerlendirme yöntemlerinin daha fazla çeşitlendirilmesi</w:t>
      </w:r>
    </w:p>
    <w:p>
      <w:pPr>
        <w:numPr>
          <w:ilvl w:val="0"/>
          <w:numId w:val="4"/>
        </w:numPr>
        <w:jc w:val="both"/>
        <w:rPr>
          <w:rFonts w:ascii="Times New Roman" w:hAnsi="Times New Roman" w:cs="Times New Roman"/>
        </w:rPr>
      </w:pPr>
      <w:r>
        <w:rPr>
          <w:rFonts w:ascii="Times New Roman" w:hAnsi="Times New Roman" w:cs="Times New Roman"/>
        </w:rPr>
        <w:t>Rubrik kullanımının tüm derslerde standartlaştırılması</w:t>
      </w:r>
    </w:p>
    <w:p>
      <w:pPr>
        <w:numPr>
          <w:ilvl w:val="0"/>
          <w:numId w:val="4"/>
        </w:numPr>
        <w:jc w:val="both"/>
        <w:rPr>
          <w:rFonts w:ascii="Times New Roman" w:hAnsi="Times New Roman" w:cs="Times New Roman"/>
        </w:rPr>
      </w:pPr>
      <w:r>
        <w:rPr>
          <w:rFonts w:ascii="Times New Roman" w:hAnsi="Times New Roman" w:cs="Times New Roman"/>
        </w:rPr>
        <w:t>Öğrenci geri bildirim araçlarının (anket, odak grup, çevrim içi sistem vb.) çeşitlendirilmesi</w:t>
      </w:r>
    </w:p>
    <w:p>
      <w:pPr>
        <w:numPr>
          <w:ilvl w:val="0"/>
          <w:numId w:val="4"/>
        </w:numPr>
        <w:jc w:val="both"/>
        <w:rPr>
          <w:rFonts w:ascii="Times New Roman" w:hAnsi="Times New Roman" w:cs="Times New Roman"/>
        </w:rPr>
      </w:pPr>
      <w:r>
        <w:rPr>
          <w:rFonts w:ascii="Times New Roman" w:hAnsi="Times New Roman" w:cs="Times New Roman"/>
        </w:rPr>
        <w:t>Öğrenci geri bildirimlerinin tematik analiz ve iyileştirme döngüsü ile ilişkilendirilmesi</w:t>
      </w:r>
    </w:p>
    <w:p>
      <w:pPr>
        <w:numPr>
          <w:ilvl w:val="0"/>
          <w:numId w:val="4"/>
        </w:numPr>
        <w:jc w:val="both"/>
        <w:rPr>
          <w:rFonts w:ascii="Times New Roman" w:hAnsi="Times New Roman" w:cs="Times New Roman"/>
        </w:rPr>
      </w:pPr>
      <w:r>
        <w:rPr>
          <w:rFonts w:ascii="Times New Roman" w:hAnsi="Times New Roman" w:cs="Times New Roman"/>
        </w:rPr>
        <w:t>Mezun geri bildirimlerinin program iyileştirme süreçlerine sistematik entegrasyonu</w:t>
      </w:r>
    </w:p>
    <w:p>
      <w:pPr>
        <w:numPr>
          <w:ilvl w:val="0"/>
          <w:numId w:val="4"/>
        </w:numPr>
        <w:jc w:val="both"/>
        <w:rPr>
          <w:rFonts w:ascii="Times New Roman" w:hAnsi="Times New Roman" w:cs="Times New Roman"/>
        </w:rPr>
      </w:pPr>
      <w:r>
        <w:rPr>
          <w:rFonts w:ascii="Times New Roman" w:hAnsi="Times New Roman" w:cs="Times New Roman"/>
        </w:rPr>
        <w:t>Öğrenme ortamları ve laboratuvar altyapısına ilişkin iyileştirme çıktılarının performans göstergeleriyle izlenmesi</w:t>
      </w:r>
    </w:p>
    <w:p>
      <w:pPr>
        <w:numPr>
          <w:ilvl w:val="0"/>
          <w:numId w:val="4"/>
        </w:numPr>
        <w:jc w:val="both"/>
        <w:rPr>
          <w:rFonts w:ascii="Times New Roman" w:hAnsi="Times New Roman" w:cs="Times New Roman"/>
        </w:rPr>
      </w:pPr>
      <w:r>
        <w:rPr>
          <w:rFonts w:ascii="Times New Roman" w:hAnsi="Times New Roman" w:cs="Times New Roman"/>
        </w:rPr>
        <w:t>Radyo odası gibi bazı uygulama alanlarının kullanım etkinliğinin artırılması</w:t>
      </w:r>
    </w:p>
    <w:p>
      <w:pPr>
        <w:numPr>
          <w:ilvl w:val="0"/>
          <w:numId w:val="4"/>
        </w:numPr>
        <w:jc w:val="both"/>
        <w:rPr>
          <w:rFonts w:ascii="Times New Roman" w:hAnsi="Times New Roman" w:cs="Times New Roman"/>
        </w:rPr>
      </w:pPr>
      <w:r>
        <w:rPr>
          <w:rFonts w:ascii="Times New Roman" w:hAnsi="Times New Roman" w:cs="Times New Roman"/>
        </w:rPr>
        <w:t>Tesis ve altyapı iyileştirme faaliyetlerinin çıktı/etki temelli değerlendirilmesi</w:t>
      </w:r>
    </w:p>
    <w:p>
      <w:pPr>
        <w:numPr>
          <w:ilvl w:val="0"/>
          <w:numId w:val="4"/>
        </w:numPr>
        <w:jc w:val="both"/>
        <w:rPr>
          <w:rFonts w:ascii="Times New Roman" w:hAnsi="Times New Roman" w:cs="Times New Roman"/>
        </w:rPr>
      </w:pPr>
      <w:r>
        <w:rPr>
          <w:rFonts w:ascii="Times New Roman" w:hAnsi="Times New Roman" w:cs="Times New Roman"/>
        </w:rPr>
        <w:t>Yangın merdiveni ve güvenlik altyapısına ilişkin iyileştirme süreçlerinin tamamlanması</w:t>
      </w:r>
    </w:p>
    <w:p>
      <w:pPr>
        <w:numPr>
          <w:ilvl w:val="0"/>
          <w:numId w:val="4"/>
        </w:numPr>
        <w:jc w:val="both"/>
        <w:rPr>
          <w:rFonts w:ascii="Times New Roman" w:hAnsi="Times New Roman" w:cs="Times New Roman"/>
        </w:rPr>
      </w:pPr>
      <w:r>
        <w:rPr>
          <w:rFonts w:ascii="Times New Roman" w:hAnsi="Times New Roman" w:cs="Times New Roman"/>
        </w:rPr>
        <w:t>Dezavantajlı gruplara yönelik akademik destek ve uyarlama uygulamalarının çeşitlendirilmesi</w:t>
      </w:r>
    </w:p>
    <w:p>
      <w:pPr>
        <w:numPr>
          <w:ilvl w:val="0"/>
          <w:numId w:val="4"/>
        </w:numPr>
        <w:jc w:val="both"/>
        <w:rPr>
          <w:rFonts w:ascii="Times New Roman" w:hAnsi="Times New Roman" w:cs="Times New Roman"/>
        </w:rPr>
      </w:pPr>
      <w:r>
        <w:rPr>
          <w:rFonts w:ascii="Times New Roman" w:hAnsi="Times New Roman" w:cs="Times New Roman"/>
        </w:rPr>
        <w:t>Sosyal ve kültürel faaliyetlerin program bazlı planlama ile güçlendirilmesi</w:t>
      </w:r>
    </w:p>
    <w:p>
      <w:pPr>
        <w:numPr>
          <w:ilvl w:val="0"/>
          <w:numId w:val="4"/>
        </w:numPr>
        <w:jc w:val="both"/>
        <w:rPr>
          <w:rFonts w:ascii="Times New Roman" w:hAnsi="Times New Roman" w:cs="Times New Roman"/>
        </w:rPr>
      </w:pPr>
      <w:r>
        <w:rPr>
          <w:rFonts w:ascii="Times New Roman" w:hAnsi="Times New Roman" w:cs="Times New Roman"/>
        </w:rPr>
        <w:t>Öğretim elemanlarının pedagojik ve dijital yetkinlik gelişimine yönelik hizmet içi eğitimlerin artırılması</w:t>
      </w:r>
    </w:p>
    <w:p>
      <w:pPr>
        <w:numPr>
          <w:ilvl w:val="0"/>
          <w:numId w:val="4"/>
        </w:numPr>
        <w:jc w:val="both"/>
        <w:rPr>
          <w:rFonts w:ascii="Times New Roman" w:hAnsi="Times New Roman" w:cs="Times New Roman"/>
        </w:rPr>
      </w:pPr>
      <w:r>
        <w:rPr>
          <w:rFonts w:ascii="Times New Roman" w:hAnsi="Times New Roman" w:cs="Times New Roman"/>
        </w:rPr>
        <w:t>Eğitim faaliyetlerine yönelik teşvik ve ödüllendirme mekanizmalarının çeşitlendirilmesi</w:t>
      </w:r>
    </w:p>
    <w:p>
      <w:pPr>
        <w:widowControl w:val="0"/>
        <w:spacing w:before="120" w:after="120" w:line="360" w:lineRule="auto"/>
        <w:jc w:val="both"/>
        <w:rPr>
          <w:rFonts w:ascii="Times New Roman" w:eastAsia="Times New Roman" w:hAnsi="Times New Roman" w:cs="Times New Roman"/>
          <w:b/>
          <w:bCs/>
        </w:rPr>
      </w:pPr>
      <w:bookmarkStart w:id="1" w:name="_heading=h.gjdgxs" w:colFirst="0" w:colLast="0"/>
      <w:bookmarkEnd w:id="1"/>
      <w:r>
        <w:rPr>
          <w:rFonts w:ascii="Times New Roman" w:eastAsia="Times New Roman" w:hAnsi="Times New Roman" w:cs="Times New Roman"/>
          <w:b/>
          <w:bCs/>
        </w:rPr>
        <w:t>C. ​ARAŞTIRMA VE GELİŞTİRME</w:t>
      </w:r>
    </w:p>
    <w:p>
      <w:pPr>
        <w:widowControl w:val="0"/>
        <w:tabs>
          <w:tab w:val="left" w:pos="673"/>
        </w:tabs>
        <w:spacing w:before="120" w:after="120" w:line="360" w:lineRule="auto"/>
        <w:rPr>
          <w:rFonts w:ascii="Times New Roman" w:eastAsia="Times New Roman" w:hAnsi="Times New Roman" w:cs="Times New Roman"/>
          <w:b/>
          <w:bCs/>
        </w:rPr>
      </w:pPr>
      <w:bookmarkStart w:id="2" w:name="_heading=h.30j0zll" w:colFirst="0" w:colLast="0"/>
      <w:bookmarkEnd w:id="2"/>
      <w:r>
        <w:rPr>
          <w:rFonts w:ascii="Times New Roman" w:eastAsia="Times New Roman" w:hAnsi="Times New Roman" w:cs="Times New Roman"/>
          <w:b/>
          <w:bCs/>
        </w:rPr>
        <w:t>C.1. Araştırma Süreçlerinin Yönetimi ve Araştırma Kaynakları</w:t>
      </w:r>
    </w:p>
    <w:p>
      <w:pPr>
        <w:widowControl w:val="0"/>
        <w:tabs>
          <w:tab w:val="left" w:pos="840"/>
        </w:tabs>
        <w:spacing w:before="120" w:after="120"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C.1.1. Araştırma süreçlerinin yönetimi</w:t>
      </w:r>
    </w:p>
    <w:p>
      <w:pPr>
        <w:pStyle w:val="NormalWeb"/>
        <w:spacing w:before="120" w:beforeAutospacing="0" w:after="120" w:afterAutospacing="0" w:line="360" w:lineRule="auto"/>
        <w:jc w:val="both"/>
      </w:pPr>
      <w:r>
        <w:t>Yüksekokulumuzda araştırma ve geliştirme faaliyetlerinin etkin ve sürdürülebilir biçimde yürütülmesini sağlamak amacıyla öğretim elemanlarının ders yükü, idari görevleri ve araştırma-geliştirme faaliyetlerine ayıracakları zaman dengesi gözetilmeye devam edilmiştir. Bu kapsamda 2024 yılında tanımlanan iş yükü dengesi yaklaşımı 2025 yılında da sürdürülmüş ve uygulama sonuçları birim yönetimi tarafından izlenmiştir.</w:t>
      </w:r>
    </w:p>
    <w:p>
      <w:pPr>
        <w:pStyle w:val="NormalWeb"/>
        <w:spacing w:before="120" w:beforeAutospacing="0" w:after="120" w:afterAutospacing="0" w:line="360" w:lineRule="auto"/>
        <w:jc w:val="both"/>
      </w:pPr>
      <w:r>
        <w:lastRenderedPageBreak/>
        <w:t xml:space="preserve">Araştırma-geliştirme faaliyetleri, </w:t>
      </w:r>
      <w:hyperlink r:id="rId35">
        <w:r>
          <w:rPr>
            <w:color w:val="0000FF"/>
            <w:u w:val="single"/>
          </w:rPr>
          <w:t>ABVS</w:t>
        </w:r>
      </w:hyperlink>
      <w:r>
        <w:t xml:space="preserve"> yazılımları ve </w:t>
      </w:r>
      <w:hyperlink r:id="rId36">
        <w:r>
          <w:rPr>
            <w:color w:val="0000FF"/>
            <w:u w:val="single"/>
          </w:rPr>
          <w:t>YÖK akademik profilleri</w:t>
        </w:r>
      </w:hyperlink>
      <w:r>
        <w:t xml:space="preserve"> aracılığıyla sistematik olarak izlenmekte; akademik çıktı, faaliyet ve performans verileri düzenli olarak güncellenmektedir. Araştırma süreçlerine ilişkin işlemler ve harcamalar elektronik ortamda yürütülerek süreçlerin şeffaflığı ve izlenebilirliği güvence altına alınmıştır.</w:t>
      </w:r>
    </w:p>
    <w:p>
      <w:pPr>
        <w:pStyle w:val="NormalWeb"/>
        <w:spacing w:before="120" w:beforeAutospacing="0" w:after="120" w:afterAutospacing="0" w:line="360" w:lineRule="auto"/>
        <w:jc w:val="both"/>
      </w:pPr>
      <w:r>
        <w:t>Öğretim elemanları tarafından gerçekleştirilen araştırma-geliştirme etkinliklerinin planlanması, uygulanması ve kontrolü öz denetim mekanizmaları ile desteklenmekte; bunun yanı sıra süreçlerin kurumsal düzeyde izlenmesi yüksekokul yönetimi tarafından gerçekleştirilmektedir. 2025 yılında araştırma faaliyetlerine ilişkin veri takibi ve değerlendirme süreçlerinin daha düzenli yürütülmesine yönelik iç izleme uygulamaları güçlendirilmiştir.</w:t>
      </w:r>
    </w:p>
    <w:p>
      <w:pPr>
        <w:pStyle w:val="NormalWeb"/>
        <w:spacing w:before="120" w:beforeAutospacing="0" w:after="120" w:afterAutospacing="0" w:line="360" w:lineRule="auto"/>
        <w:jc w:val="both"/>
      </w:pPr>
      <w:r>
        <w:t xml:space="preserve">Araştırma ve geliştirme faaliyetlerinin desteklenmesi amacıyla üniversitemiz </w:t>
      </w:r>
      <w:hyperlink r:id="rId37">
        <w:r>
          <w:rPr>
            <w:color w:val="0000FF"/>
            <w:u w:val="single"/>
          </w:rPr>
          <w:t>"BAP Koordinasyon Birimi"</w:t>
        </w:r>
      </w:hyperlink>
      <w:r>
        <w:t xml:space="preserve"> ile iş birliği sürdürülmüş; akademik personelin proje geliştirme kapasitesinin artırılmasına yönelik olarak </w:t>
      </w:r>
      <w:hyperlink r:id="rId38">
        <w:r>
          <w:rPr>
            <w:color w:val="0000FF"/>
            <w:u w:val="single"/>
          </w:rPr>
          <w:t>Proje Destek ve Yönetim Koordinatörlüğü</w:t>
        </w:r>
      </w:hyperlink>
      <w:r>
        <w:t xml:space="preserve"> tarafından sağlanan eğitim ve bilgilendirme desteklerinden yararlanılmıştır.</w:t>
      </w:r>
    </w:p>
    <w:p>
      <w:pPr>
        <w:widowControl w:val="0"/>
        <w:tabs>
          <w:tab w:val="left" w:pos="840"/>
        </w:tabs>
        <w:spacing w:before="120" w:after="120"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C.1.2. İç ve dış kaynaklar</w:t>
      </w:r>
    </w:p>
    <w:p>
      <w:pPr>
        <w:pStyle w:val="NormalWeb"/>
        <w:spacing w:before="120" w:beforeAutospacing="0" w:after="120" w:afterAutospacing="0" w:line="360" w:lineRule="auto"/>
        <w:jc w:val="both"/>
      </w:pPr>
      <w:r>
        <w:t>Yüksekokulumuzda araştırma ve geliştirme faaliyetlerinin sürdürülebilirliğini desteklemek amacıyla iç ve dış kaynakların etkin kullanımı gözetilmektedir. Kurum içindeki maddi ve nakdi destek imkânlarının sınırlı olması nedeniyle öğretim elemanları dış kaynaklı proje ve fonlara yönlendirilmeye 2025 yılında da devam edilmiştir. Bu kapsamda 2024 yılında benimsenen dış kaynaklara yönelim yaklaşımı sürdürülmüş ve uygulama sonuçları izlenmiştir.</w:t>
      </w:r>
    </w:p>
    <w:p>
      <w:pPr>
        <w:pStyle w:val="NormalWeb"/>
        <w:spacing w:before="120" w:beforeAutospacing="0" w:after="120" w:afterAutospacing="0" w:line="360" w:lineRule="auto"/>
        <w:jc w:val="both"/>
      </w:pPr>
      <w:r>
        <w:t xml:space="preserve">Üniversite genelinde </w:t>
      </w:r>
      <w:hyperlink r:id="rId39">
        <w:r>
          <w:rPr>
            <w:color w:val="0000FF"/>
            <w:u w:val="single"/>
          </w:rPr>
          <w:t>TÜBİTAK,</w:t>
        </w:r>
      </w:hyperlink>
      <w:r>
        <w:t xml:space="preserve"> </w:t>
      </w:r>
      <w:hyperlink r:id="rId40">
        <w:r>
          <w:rPr>
            <w:color w:val="0000FF"/>
            <w:u w:val="single"/>
          </w:rPr>
          <w:t>BAP,</w:t>
        </w:r>
      </w:hyperlink>
      <w:r>
        <w:t xml:space="preserve"> </w:t>
      </w:r>
      <w:hyperlink r:id="rId41">
        <w:r>
          <w:rPr>
            <w:color w:val="0000FF"/>
            <w:u w:val="single"/>
          </w:rPr>
          <w:t>KOSGEB,</w:t>
        </w:r>
      </w:hyperlink>
      <w:r>
        <w:t xml:space="preserve"> ilgili bakanlık destekleri ve Avrupa Birliği projelerine yönelik Proje Destek ve Yönetim Koordinatörlüğü tarafından gerçekleştirilen bilgilendirme ve eğitim faaliyetlerinden yararlanılmaktadır. Öğretim elemanlarının proje geliştirme ve dış fonlara başvuru kapasitelerinin artırılması amacıyla yapılan duyuru, eğitim ve bilgilendirme süreçleri birim düzeyinde paylaşılmakta ve teşvik edilmektedir.</w:t>
      </w:r>
    </w:p>
    <w:p>
      <w:pPr>
        <w:pStyle w:val="NormalWeb"/>
        <w:spacing w:before="120" w:beforeAutospacing="0" w:after="120" w:afterAutospacing="0" w:line="360" w:lineRule="auto"/>
        <w:jc w:val="both"/>
      </w:pPr>
      <w:r>
        <w:t>Öğretim elemanlarının TÜBİTAK, AB, KOSGEB ve benzeri dış kaynaklardan elde ettikleri proje destekleri yüksekokul yönetimi tarafından desteklenmekte; bu desteklerin birimin araştırma-geliştirme performansına katkısı değerlendirilmektedir. Bununla birlikte, üniversite dışı fonların kurumsal düzeyde artırılmasına yönelik protokol ve iş birliği mekanizmalarının geliştirilmesi gelişime açık bir alan olarak değerlendirilmiştir.</w:t>
      </w:r>
    </w:p>
    <w:p>
      <w:pPr>
        <w:pStyle w:val="NormalWeb"/>
        <w:spacing w:before="120" w:beforeAutospacing="0" w:after="120" w:afterAutospacing="0" w:line="360" w:lineRule="auto"/>
        <w:jc w:val="both"/>
      </w:pPr>
      <w:r>
        <w:lastRenderedPageBreak/>
        <w:t>Araştırma-geliştirme faaliyetlerinin planlanması, uygulanması ve izlenmesi süreçlerinde öğretim elemanlarının öz denetim mekanizmaları esas alınmakta; süreçler yüksekokul yönetimi tarafından da kurumsal düzeyde takip edilmektedir. Üniversitemiz BAP Koordinasyon Birimi, ihtiyaç duyulması halinde araştırma projeleri ve kaynak kullanımına ilişkin destek sunmaktadır. BAP kaynaklarının kullanımına yönelik işlemler ilgili mevzuat hükümleri çerçevesinde yürütülmektedir.</w:t>
      </w:r>
    </w:p>
    <w:p>
      <w:pPr>
        <w:pStyle w:val="NormalWeb"/>
        <w:spacing w:before="120" w:beforeAutospacing="0" w:after="120" w:afterAutospacing="0" w:line="360" w:lineRule="auto"/>
        <w:jc w:val="both"/>
      </w:pPr>
      <w:r>
        <w:t>İç kaynakların kullanımına ilişkin birim düzeyinde tanımlı bir yönergenin bulunmaması kaynak yönetimi açısından gelişime açık bir alan olarak değerlendirilmiş; süreçlerin daha sistematik hale getirilmesine yönelik düzenleme ihtiyacı tespit edilmiştir.</w:t>
      </w:r>
    </w:p>
    <w:p>
      <w:pPr>
        <w:pStyle w:val="NormalWeb"/>
        <w:spacing w:before="120" w:beforeAutospacing="0" w:after="120" w:afterAutospacing="0" w:line="360" w:lineRule="auto"/>
        <w:jc w:val="both"/>
      </w:pPr>
      <w:r>
        <w:t>Öte yandan, yüksekokulumuzda bağış, sponsorluk ve dış destek mekanizmaları kapsamında henüz düzenli bir kaynak girdisi sağlanamamıştır. Bu alan, kurumsal kaynak çeşitliliğinin artırılması açısından iyileştirme fırsatı olarak ele alınmaktadır.</w:t>
      </w:r>
    </w:p>
    <w:p>
      <w:pPr>
        <w:widowControl w:val="0"/>
        <w:tabs>
          <w:tab w:val="left" w:pos="840"/>
        </w:tabs>
        <w:spacing w:before="120" w:after="120"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C.1.3. Doktora programları ve doktora sonrası imkânlar</w:t>
      </w:r>
    </w:p>
    <w:p>
      <w:pPr>
        <w:widowControl w:val="0"/>
        <w:tabs>
          <w:tab w:val="left" w:pos="840"/>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Yüksekokulumuz ön lisans düzeyinde eğitim veren bir birim olması nedeniyle doktora programı ve doktora sonrası araştırma faaliyetleri yürütülmemektedir. Bununla birlikte, üniversitenin diğer akademik birimleri ve lisansüstü programları ile araştırma iş birliklerinin geliştirilmesi önemli bir ihtiyaç olarak değerlendirilmektedir.</w:t>
      </w:r>
    </w:p>
    <w:p>
      <w:pPr>
        <w:widowControl w:val="0"/>
        <w:tabs>
          <w:tab w:val="left" w:pos="673"/>
        </w:tabs>
        <w:spacing w:before="120" w:after="120" w:line="360" w:lineRule="auto"/>
        <w:jc w:val="both"/>
        <w:rPr>
          <w:rFonts w:ascii="Times New Roman" w:eastAsia="Times New Roman" w:hAnsi="Times New Roman" w:cs="Times New Roman"/>
          <w:b/>
          <w:bCs/>
        </w:rPr>
      </w:pPr>
      <w:bookmarkStart w:id="3" w:name="_heading=h.1fob9te" w:colFirst="0" w:colLast="0"/>
      <w:bookmarkEnd w:id="3"/>
      <w:r>
        <w:rPr>
          <w:rFonts w:ascii="Times New Roman" w:eastAsia="Times New Roman" w:hAnsi="Times New Roman" w:cs="Times New Roman"/>
          <w:b/>
          <w:bCs/>
        </w:rPr>
        <w:t>C.2. Araştırma Yetkinliği, İş birlikleri ve Destekler</w:t>
      </w:r>
    </w:p>
    <w:p>
      <w:pPr>
        <w:widowControl w:val="0"/>
        <w:tabs>
          <w:tab w:val="left" w:pos="840"/>
        </w:tabs>
        <w:spacing w:before="120" w:after="120"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C.2.1. Araştırma yetkinlikleri ve gelişimi</w:t>
      </w:r>
    </w:p>
    <w:p>
      <w:pPr>
        <w:widowControl w:val="0"/>
        <w:tabs>
          <w:tab w:val="left" w:pos="840"/>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Yüksekokulumuzda görevlendirilen akademik personelin yeterliliğinin ölçülmesi, izlenmesi ve değerlendirilmesi süreçleri; "</w:t>
      </w:r>
      <w:hyperlink r:id="rId42">
        <w:r>
          <w:rPr>
            <w:rFonts w:ascii="Times New Roman" w:eastAsia="Times New Roman" w:hAnsi="Times New Roman" w:cs="Times New Roman"/>
            <w:color w:val="0000FF"/>
            <w:u w:val="single"/>
          </w:rPr>
          <w:t>2547 sayılı Yükseköğretim Kanunu,</w:t>
        </w:r>
      </w:hyperlink>
      <w:r>
        <w:rPr>
          <w:rFonts w:ascii="Times New Roman" w:eastAsia="Times New Roman" w:hAnsi="Times New Roman" w:cs="Times New Roman"/>
        </w:rPr>
        <w:t xml:space="preserve"> </w:t>
      </w:r>
      <w:hyperlink r:id="rId43">
        <w:r>
          <w:rPr>
            <w:rFonts w:ascii="Times New Roman" w:eastAsia="Times New Roman" w:hAnsi="Times New Roman" w:cs="Times New Roman"/>
            <w:color w:val="0000FF"/>
            <w:u w:val="single"/>
          </w:rPr>
          <w:t>Öğretim Üyeliğine Yükseltilme ve Atanma Yönetmeliği,</w:t>
        </w:r>
      </w:hyperlink>
      <w:r>
        <w:rPr>
          <w:rFonts w:ascii="Times New Roman" w:eastAsia="Times New Roman" w:hAnsi="Times New Roman" w:cs="Times New Roman"/>
        </w:rPr>
        <w:t xml:space="preserve"> </w:t>
      </w:r>
      <w:hyperlink r:id="rId44">
        <w:r>
          <w:rPr>
            <w:rFonts w:ascii="Times New Roman" w:eastAsia="Times New Roman" w:hAnsi="Times New Roman" w:cs="Times New Roman"/>
            <w:color w:val="0000FF"/>
            <w:u w:val="single"/>
          </w:rPr>
          <w:t>Giresun Üniversitesi Öğretim Üyeliğine Yükseltilme ve Atanma Yönergesi,</w:t>
        </w:r>
      </w:hyperlink>
      <w:r>
        <w:rPr>
          <w:rFonts w:ascii="Times New Roman" w:eastAsia="Times New Roman" w:hAnsi="Times New Roman" w:cs="Times New Roman"/>
        </w:rPr>
        <w:t xml:space="preserve"> </w:t>
      </w:r>
      <w:hyperlink r:id="rId45">
        <w:r>
          <w:rPr>
            <w:rFonts w:ascii="Times New Roman" w:eastAsia="Times New Roman" w:hAnsi="Times New Roman" w:cs="Times New Roman"/>
            <w:color w:val="0000FF"/>
            <w:u w:val="single"/>
          </w:rPr>
          <w:t>Öğretim Üyesi Dışındaki Öğretim Elemanı Kadrolarına Yapılacak Atamalarda Uygulanacak Merkezi Sınav İle Giriş Sınavlarına İlişkin Usul ve Esaslar Hakkında Yönetmelik,</w:t>
        </w:r>
      </w:hyperlink>
      <w:r>
        <w:rPr>
          <w:rFonts w:ascii="Times New Roman" w:eastAsia="Times New Roman" w:hAnsi="Times New Roman" w:cs="Times New Roman"/>
        </w:rPr>
        <w:t xml:space="preserve"> </w:t>
      </w:r>
      <w:hyperlink r:id="rId46">
        <w:r>
          <w:rPr>
            <w:rFonts w:ascii="Times New Roman" w:eastAsia="Times New Roman" w:hAnsi="Times New Roman" w:cs="Times New Roman"/>
            <w:color w:val="0000FF"/>
            <w:u w:val="single"/>
          </w:rPr>
          <w:t>Devlet Yükseköğretim Kurumlarında Öğretim Elemanı Norm Kadrolarının Belirlenmesine ve Kullanılmasına İlişkin Yönetmelik</w:t>
        </w:r>
      </w:hyperlink>
      <w:r>
        <w:rPr>
          <w:rFonts w:ascii="Times New Roman" w:eastAsia="Times New Roman" w:hAnsi="Times New Roman" w:cs="Times New Roman"/>
        </w:rPr>
        <w:t xml:space="preserve">, </w:t>
      </w:r>
      <w:hyperlink r:id="rId47">
        <w:r>
          <w:rPr>
            <w:rFonts w:ascii="Times New Roman" w:eastAsia="Times New Roman" w:hAnsi="Times New Roman" w:cs="Times New Roman"/>
            <w:color w:val="0000FF"/>
            <w:u w:val="single"/>
          </w:rPr>
          <w:t>Yurtiçinde ve Yurtdışında Görevlendirmelerde Uyulacak Esaslara İlişkin Yönetmelik</w:t>
        </w:r>
      </w:hyperlink>
      <w:r>
        <w:rPr>
          <w:rFonts w:ascii="Times New Roman" w:hAnsi="Times New Roman" w:cs="Times New Roman"/>
        </w:rPr>
        <w:t xml:space="preserve"> </w:t>
      </w:r>
      <w:r>
        <w:rPr>
          <w:rFonts w:ascii="Times New Roman" w:eastAsia="Times New Roman" w:hAnsi="Times New Roman" w:cs="Times New Roman"/>
        </w:rPr>
        <w:t>hükümleri doğrultusunda güvence altına alınmaktadır.</w:t>
      </w:r>
    </w:p>
    <w:p>
      <w:pPr>
        <w:widowControl w:val="0"/>
        <w:tabs>
          <w:tab w:val="left" w:pos="840"/>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2024 yılında tanımlanan mevzuat temelli yeterlilik güvencesi yaklaşımı 2025 yılında da sürdürülmüş; ilgili süreçlerin uygulanması ve işleyişi yüksekokul yönetimi tarafından izlenmeye devam edilmiştir. Akademik personelin atama, yükseltme ve görevlendirme </w:t>
      </w:r>
      <w:r>
        <w:rPr>
          <w:rFonts w:ascii="Times New Roman" w:eastAsia="Times New Roman" w:hAnsi="Times New Roman" w:cs="Times New Roman"/>
        </w:rPr>
        <w:lastRenderedPageBreak/>
        <w:t>süreçlerine ilişkin uygulamalar kurumsal düzenlemeler çerçevesinde yürütülmektedir.</w:t>
      </w:r>
    </w:p>
    <w:p>
      <w:pPr>
        <w:widowControl w:val="0"/>
        <w:tabs>
          <w:tab w:val="left" w:pos="840"/>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Bu raporun B.4.1 bölümünde, üniversite genelinde ve yüksekokulumuz özelinde atama, yükseltme ve görevlendirme süreçlerine ilişkin detaylı açıklamalara yer verildiğinden, söz konusu hususlar bu bölümde tekrar edilmemiştir.</w:t>
      </w:r>
    </w:p>
    <w:p>
      <w:pPr>
        <w:widowControl w:val="0"/>
        <w:spacing w:before="120" w:after="120"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C.2.2. Ulusal ve uluslararası ortak programlar ve ortak araştırma birimleri</w:t>
      </w:r>
    </w:p>
    <w:p>
      <w:pPr>
        <w:pStyle w:val="NormalWeb"/>
        <w:spacing w:before="120" w:beforeAutospacing="0" w:after="120" w:afterAutospacing="0" w:line="360" w:lineRule="auto"/>
        <w:jc w:val="both"/>
      </w:pPr>
      <w:r>
        <w:t>Yüksekokulumuzda kurumlar arası iş birliklerini, disiplinler arası girişimleri ve sinerji oluşturabilecek ortak araştırma faaliyetlerini desteklemeye yönelik ulusal ve uluslararası mekanizmaların geliştirilmesine ihtiyaç duyulmaktadır. 2024 yılı öz değerlendirme sonuçlarında bu alan gelişime açık bir yön olarak tespit edilmiş olup, 2025 yılında da söz konusu ihtiyaç devam etmektedir.</w:t>
      </w:r>
    </w:p>
    <w:p>
      <w:pPr>
        <w:pStyle w:val="NormalWeb"/>
        <w:spacing w:before="120" w:beforeAutospacing="0" w:after="120" w:afterAutospacing="0" w:line="360" w:lineRule="auto"/>
        <w:jc w:val="both"/>
      </w:pPr>
      <w:r>
        <w:t>Araştırma alanında ulusal ve uluslararası ortak programlar ile ortak araştırma birimlerinin oluşturulması, araştırma ağlarına katılımın artırılması ve dış paydaşlarla iş birliklerinin geliştirilmesi yüksekokulumuz açısından öncelikli iyileştirme alanları arasında değerlendirilmektedir. Bu doğrultuda, birim düzeyinde farkındalık oluşturulmasına yönelik değerlendirmeler yapılmış ve iş birliği potansiyeli bulunan alanlara ilişkin planlama ihtiyacı ortaya konulmuştur.</w:t>
      </w:r>
    </w:p>
    <w:p>
      <w:pPr>
        <w:pStyle w:val="NormalWeb"/>
        <w:spacing w:before="120" w:beforeAutospacing="0" w:after="120" w:afterAutospacing="0" w:line="360" w:lineRule="auto"/>
        <w:jc w:val="both"/>
      </w:pPr>
      <w:r>
        <w:t>Ulusal ve uluslararası düzeyde çoklu araştırma faaliyetlerinin geliştirilmesi amacıyla kurumsal mekanizmaların oluşturulması, ilgili süreçlerin tanımlanması ve uygulamaya geçirilmesi gerekliliği değerlendirilmiş; bu alan yüksekokulumuzun araştırma-geliştirme kapasitesinin güçlendirilmesine yönelik stratejik bir gelişim alanı olarak ele alınmıştır.</w:t>
      </w:r>
    </w:p>
    <w:p>
      <w:pPr>
        <w:widowControl w:val="0"/>
        <w:tabs>
          <w:tab w:val="left" w:pos="673"/>
        </w:tabs>
        <w:spacing w:before="120" w:after="120" w:line="360" w:lineRule="auto"/>
        <w:jc w:val="both"/>
        <w:rPr>
          <w:rFonts w:ascii="Times New Roman" w:eastAsia="Times New Roman" w:hAnsi="Times New Roman" w:cs="Times New Roman"/>
          <w:b/>
          <w:bCs/>
        </w:rPr>
      </w:pPr>
      <w:bookmarkStart w:id="4" w:name="_heading=h.3znysh7" w:colFirst="0" w:colLast="0"/>
      <w:bookmarkEnd w:id="4"/>
      <w:r>
        <w:rPr>
          <w:rFonts w:ascii="Times New Roman" w:eastAsia="Times New Roman" w:hAnsi="Times New Roman" w:cs="Times New Roman"/>
          <w:b/>
          <w:bCs/>
        </w:rPr>
        <w:t>C.3. Araştırma Performansı</w:t>
      </w:r>
    </w:p>
    <w:p>
      <w:pPr>
        <w:widowControl w:val="0"/>
        <w:tabs>
          <w:tab w:val="left" w:pos="673"/>
        </w:tabs>
        <w:spacing w:before="120" w:after="120" w:line="360" w:lineRule="auto"/>
        <w:jc w:val="both"/>
        <w:rPr>
          <w:rFonts w:ascii="Times New Roman" w:eastAsia="Times New Roman" w:hAnsi="Times New Roman" w:cs="Times New Roman"/>
          <w:b/>
          <w:bCs/>
        </w:rPr>
      </w:pPr>
      <w:r>
        <w:rPr>
          <w:rFonts w:ascii="Times New Roman" w:eastAsia="Times New Roman" w:hAnsi="Times New Roman" w:cs="Times New Roman"/>
          <w:b/>
          <w:bCs/>
        </w:rPr>
        <w:t>C.3.1. Araştırma performansının izlenmesi ve değerlendirilmesi</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Yüksekokulumuzda öğretim elemanlarının araştırma performanslarının izlenmesi ve değerlendirilmesi, yıllık faaliyet raporları aracılığıyla sistematik olarak yürütülmektedir. Her yıl sonunda akademik personelden alınan faaliyet verileri birim düzeyinde konsolide edilmekte; araştırma faaliyetlerine ilişkin çıktı ve performans göstergeleri düzenli olarak değerlendirilmektedir.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Araştırma performansına ilişkin bilgiler, şeffaflık ve hesap verebilirlik ilkeleri doğrultusunda web sitemizde </w:t>
      </w:r>
      <w:hyperlink r:id="rId48">
        <w:r>
          <w:rPr>
            <w:rFonts w:ascii="Times New Roman" w:eastAsia="Times New Roman" w:hAnsi="Times New Roman" w:cs="Times New Roman"/>
            <w:color w:val="0000FF"/>
            <w:u w:val="single"/>
          </w:rPr>
          <w:t>"Kalite"</w:t>
        </w:r>
      </w:hyperlink>
      <w:r>
        <w:rPr>
          <w:rFonts w:ascii="Times New Roman" w:eastAsia="Times New Roman" w:hAnsi="Times New Roman" w:cs="Times New Roman"/>
        </w:rPr>
        <w:t xml:space="preserve"> sekmesi altında yer alan </w:t>
      </w:r>
      <w:hyperlink r:id="rId49">
        <w:r>
          <w:rPr>
            <w:rFonts w:ascii="Times New Roman" w:eastAsia="Times New Roman" w:hAnsi="Times New Roman" w:cs="Times New Roman"/>
            <w:color w:val="0000FF"/>
            <w:u w:val="single"/>
          </w:rPr>
          <w:t>"Birim Faaliyet Raporları"</w:t>
        </w:r>
      </w:hyperlink>
      <w:r>
        <w:rPr>
          <w:rFonts w:ascii="Times New Roman" w:hAnsi="Times New Roman" w:cs="Times New Roman"/>
        </w:rPr>
        <w:t xml:space="preserve"> </w:t>
      </w:r>
      <w:r>
        <w:rPr>
          <w:rFonts w:ascii="Times New Roman" w:eastAsia="Times New Roman" w:hAnsi="Times New Roman" w:cs="Times New Roman"/>
        </w:rPr>
        <w:t>bölümünde kamuoyu ile paylaşılmaktadır. Bu uygulama ile araştırma çıktılarının izlenebilirliği sağlanmakta ve kurumsal hafıza güçlendirilmektedir.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2025 yılı itibarıyla araştırma faaliyetlerine ilişkin veriler incelendiğinde; öğretim elemanları tarafından gerçekleştirilen akademik üretimin sürdürülebilir biçimde devam ettiği görülmektedir. Bu kapsamda 2025 yılı içerisinde 20 makale, 10 kitap/kitap bölümü, 7 bildiri ve 1 proje çalışması gerçekleştirilmiştir.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Elde edilen performans verileri doğrultusunda araştırma faaliyetlerinin niceliksel gelişimi izlenmekte; çıktıların tür bazında dağılımı değerlendirilerek gelişime açık alanlar belirlenmektedir.</w:t>
      </w:r>
    </w:p>
    <w:p>
      <w:pPr>
        <w:widowControl w:val="0"/>
        <w:tabs>
          <w:tab w:val="left" w:pos="673"/>
        </w:tabs>
        <w:spacing w:before="120" w:after="120" w:line="360" w:lineRule="auto"/>
        <w:jc w:val="both"/>
        <w:rPr>
          <w:rFonts w:ascii="Times New Roman" w:eastAsia="Times New Roman" w:hAnsi="Times New Roman" w:cs="Times New Roman"/>
          <w:b/>
          <w:bCs/>
        </w:rPr>
      </w:pPr>
      <w:r>
        <w:rPr>
          <w:rFonts w:ascii="Times New Roman" w:eastAsia="Times New Roman" w:hAnsi="Times New Roman" w:cs="Times New Roman"/>
          <w:b/>
          <w:bCs/>
        </w:rPr>
        <w:t>C.3.2. Öğretim elemanı / araştırmacı performansının değerlendirilmesi</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Öğretim elemanlarının araştırma performansları; akademik yayınlar, bilimsel etkinliklere katılım, proje faaliyetleri ve akademik teşvik göstergeleri çerçevesinde değerlendirilmektedir. B.4.3 başlığı altında sunulan kanıtlar, üniversite genelinde olduğu gibi yüksekokulumuz özelinde de bilimsel faaliyetlere yönelik maddi desteklerin sınırlı olduğunu göstermektedir. Buna rağmen akademik teşvik ve ödüllendirme süreçleri ilgili mevzuat hükümleri doğrultusunda yürütülmektedir.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Bu kapsamda 2023 ve 2024 yıllarında 2 öğretim elemanı akademik teşvik ödeneği almaya hak kazanmışken, 2025 yılında bu sayı 4’e yükselmiştir. Söz konusu artış, öğretim elemanlarının araştırma ve yayın faaliyetlerine katılımının güçlendiğini ve performans odaklı akademik üretimin teşvik edildiğini göstermektedir.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2025 yılı itibarıyla akademisyen başına düşen yayın sayısı 1,31 olarak gerçekleşmiştir. Bu gösterge, araştırma faaliyetlerinin sürdürüldüğünü ortaya koymakta; aynı zamanda performansın artırılmasına yönelik planlı iyileştirme çalışmalarının gerekliliğine işaret etmektedir.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Araştırma çıktılarının tür bazında dağılımı incelendiğinde, yayın üretiminin ağırlıklı olarak makale ve kitap/kitap bölümü şeklinde gerçekleştiği, proje sayısının ise gelişime açık bir alan olduğu değerlendirilmiştir. Bu doğrultuda proje geliştirme kapasitesinin artırılması, dış kaynaklı projelere yönelimin güçlendirilmesi ve araştırma faaliyetlerinin çeşitlendirilmesine yönelik iyileştirme alanları belirlenmiştir.</w:t>
      </w:r>
    </w:p>
    <w:p>
      <w:pPr>
        <w:widowControl w:val="0"/>
        <w:tabs>
          <w:tab w:val="left" w:pos="673"/>
        </w:tab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Her yıl sonunda gerçekleştirilen performans değerlendirmeleri doğrultusunda araştırma performansını artırmaya yönelik planlama, teşvik ve yönlendirme mekanizmalarının geliştirilmesine yönelik çalışmalar sürdürülmektedir.</w:t>
      </w:r>
    </w:p>
    <w:p>
      <w:pPr>
        <w:spacing w:before="120" w:after="120" w:line="360" w:lineRule="auto"/>
        <w:jc w:val="both"/>
        <w:rPr>
          <w:rFonts w:ascii="Times New Roman" w:eastAsia="Times New Roman" w:hAnsi="Times New Roman" w:cs="Times New Roman"/>
          <w:b/>
          <w:bCs/>
        </w:rPr>
      </w:pPr>
      <w:r>
        <w:rPr>
          <w:rFonts w:ascii="Times New Roman" w:eastAsia="Times New Roman" w:hAnsi="Times New Roman" w:cs="Times New Roman"/>
          <w:b/>
          <w:bCs/>
        </w:rPr>
        <w:t>Güçlü Yanlar:</w:t>
      </w:r>
    </w:p>
    <w:p>
      <w:pPr>
        <w:numPr>
          <w:ilvl w:val="0"/>
          <w:numId w:val="5"/>
        </w:numPr>
        <w:spacing w:before="120" w:after="120" w:line="360" w:lineRule="auto"/>
        <w:jc w:val="both"/>
        <w:rPr>
          <w:rFonts w:ascii="Times New Roman" w:eastAsia="Times New Roman" w:hAnsi="Times New Roman" w:cs="Times New Roman"/>
        </w:rPr>
      </w:pPr>
      <w:bookmarkStart w:id="5" w:name="_heading=h.gfet74s92wl0" w:colFirst="0" w:colLast="0"/>
      <w:bookmarkEnd w:id="5"/>
      <w:r>
        <w:rPr>
          <w:rFonts w:ascii="Times New Roman" w:eastAsia="Times New Roman" w:hAnsi="Times New Roman" w:cs="Times New Roman"/>
        </w:rPr>
        <w:lastRenderedPageBreak/>
        <w:t>Yüksekokulumuzda araştırma ve geliştirme faaliyetlerine ilişkin süreçlerin tanımlı, izlenebilir ve sistematik bir yapı içerisinde yürütüldüğü görülmektedir. Öğretim elemanlarının ders yükü, idari görevleri ve araştırma faaliyetlerine ayırdıkları zaman dengesinin gözetilmesi, araştırma süreçlerinin sürdürülebilirliği açısından önemli bir yönetim yaklaşımı olarak değerlendirilmektedir.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Araştırma faaliyetlerinin ABVS yazılımları ve YÖK akademik profilleri aracılığıyla düzenli olarak izlenmesi, akademik çıktı ve performans verilerinin güncel tutulmasını ve süreçlerin veri temelli yönetimini desteklemektedir. Araştırma süreçlerine ilişkin işlemler ile harcamaların elektronik ortamda yürütülmesi, şeffaflık ve izlenebilirlik açısından güçlü bir uygulama niteliğindedir.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Öğretim elemanlarının araştırma faaliyetlerinin öz denetim mekanizmaları ile desteklenmesi ve yüksekokul yönetimi tarafından kurumsal düzeyde izlenmesi, kalite güvence yaklaşımının yerleştiğine işaret etmektedir. Araştırma faaliyetlerine ilişkin veri takibi ve değerlendirme süreçlerinin düzenli biçimde yürütülmesine yönelik iç izleme uygulamalarının güçlendirilmiş olması olumlu bir gelişme olarak değerlendirilmektedir.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Üniversite bünyesindeki BAP Koordinasyon Birimi ile sürdürülen iş birliği ve Proje Destek ve Yönetim Koordinatörlüğü tarafından sağlanan eğitim ve bilgilendirme desteklerinden yararlanılması, araştırma kapasitesinin kurumsal düzeyde desteklendiğini göstermektedir.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Araştırma performansının yıllık faaliyet raporları aracılığıyla sistematik olarak izlenmesi ve performans verilerinin kamuoyu ile paylaşılması, şeffaflık ve hesap verebilirlik ilkeleriyle uyumlu güçlü bir yön olarak öne çıkmaktadır. 2025 yılı araştırma çıktıları incelendiğinde, akademik üretimin sürdürülebilir biçimde devam ettiği; makale, kitap/kitap bölümü ve bildiri üretiminin düzenli olarak gerçekleştirildiği görülmektedir.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Akademik teşvik ödeneğinden yararlanan öğretim elemanı sayısındaki artış, araştırma ve yayın faaliyetlerine katılımın güçlendiğini ve performans odaklı akademik üretimin teşvik edildiğini göstermektedir. Akademisyen başına düşen yayın göstergesinin izlenmesi, araştırma performansının ölçülebilirliğine katkı sağlamaktadır.</w:t>
      </w:r>
    </w:p>
    <w:p>
      <w:pPr>
        <w:spacing w:before="120" w:after="120" w:line="360" w:lineRule="auto"/>
        <w:ind w:left="360"/>
        <w:jc w:val="both"/>
        <w:rPr>
          <w:rFonts w:ascii="Times New Roman" w:eastAsia="Times New Roman" w:hAnsi="Times New Roman" w:cs="Times New Roman"/>
          <w:b/>
          <w:bCs/>
        </w:rPr>
      </w:pPr>
      <w:r>
        <w:rPr>
          <w:rFonts w:ascii="Times New Roman" w:eastAsia="Times New Roman" w:hAnsi="Times New Roman" w:cs="Times New Roman"/>
          <w:b/>
          <w:bCs/>
        </w:rPr>
        <w:t>Gelişmeye Açık Yönler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Araştırma faaliyetlerinin desteklenmesine yönelik iç kaynak kullanımını düzenleyen birim düzeyinde tanımlı bir yönergenin bulunmaması, kaynak yönetimi süreçlerinin daha sistematik hale getirilmesi açısından gelişime açık bir alan olarak değerlendirilmektedir.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Kurum içi maddi ve nakdi destek imkânlarının sınırlı olması, araştırma faaliyetlerinin çeşitliliği ve proje geliştirme kapasitesi üzerinde kısıtlayıcı bir etki yaratabilmektedir. Bu kapsamda dış kaynaklı fonların kurumsal düzeyde artırılmasına yönelik protokol ve iş birliği mekanizmalarının geliştirilmesi ihtiyaç olarak ortaya çıkmaktadır.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Ulusal ve uluslararası düzeyde ortak programlar, araştırma ağları ve ortak araştırma birimlerine katılımı destekleyecek kurumsal mekanizmaların henüz yeterince yapılandırılamamış olması, araştırma iş birliklerinin geliştirilmesi açısından iyileştirme gerektiren bir alan olarak değerlendirilmektedir.</w:t>
      </w:r>
    </w:p>
    <w:p>
      <w:pPr>
        <w:numPr>
          <w:ilvl w:val="0"/>
          <w:numId w:val="5"/>
        </w:num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Araştırma çıktılarının tür bazında dağılımı incelendiğinde, proje sayısının sınırlı olduğu görülmekte; proje geliştirme kapasitesinin artırılmasına yönelik planlı iyileştirme çalışmalarının gerekliliği ortaya çıkmaktadır.</w:t>
      </w:r>
    </w:p>
    <w:p>
      <w:pPr>
        <w:numPr>
          <w:ilvl w:val="0"/>
          <w:numId w:val="5"/>
        </w:numPr>
        <w:spacing w:before="120" w:after="120" w:line="360" w:lineRule="auto"/>
        <w:jc w:val="both"/>
        <w:rPr>
          <w:rFonts w:ascii="Times New Roman" w:hAnsi="Times New Roman" w:cs="Times New Roman"/>
        </w:rPr>
      </w:pPr>
      <w:r>
        <w:rPr>
          <w:rFonts w:ascii="Times New Roman" w:eastAsia="Times New Roman" w:hAnsi="Times New Roman" w:cs="Times New Roman"/>
        </w:rPr>
        <w:t>Bağış, sponsorluk ve dış destek mekanizmaları kapsamında düzenli kaynak girdisinin bulunmaması, kurumsal kaynak çeşitliliğinin artırılması açısından gelişime açık bir yön olarak değerlendirilmektedir.</w:t>
      </w:r>
    </w:p>
    <w:p>
      <w:pPr>
        <w:numPr>
          <w:ilvl w:val="0"/>
          <w:numId w:val="5"/>
        </w:numPr>
        <w:spacing w:before="120" w:after="120" w:line="360" w:lineRule="auto"/>
        <w:jc w:val="both"/>
        <w:rPr>
          <w:rFonts w:ascii="Times New Roman" w:hAnsi="Times New Roman" w:cs="Times New Roman"/>
        </w:rPr>
      </w:pPr>
      <w:r>
        <w:rPr>
          <w:rFonts w:ascii="Times New Roman" w:eastAsia="Times New Roman" w:hAnsi="Times New Roman" w:cs="Times New Roman"/>
        </w:rPr>
        <w:t>Araştırma performansına ilişkin göstergelerin yıllar bazında karşılaştırmalı analizlerle desteklenmesi ve performans eğilimlerinin daha görünür hale getirilmesi, izleme ve değerlendirme süreçlerinin güçlendirilmesine katkı sağlayacaktır.</w:t>
      </w:r>
    </w:p>
    <w:p>
      <w:pPr>
        <w:spacing w:before="120" w:after="120" w:line="360" w:lineRule="auto"/>
        <w:rPr>
          <w:rFonts w:ascii="Times New Roman" w:hAnsi="Times New Roman" w:cs="Times New Roman"/>
          <w:b/>
          <w:bCs/>
        </w:rPr>
      </w:pPr>
      <w:r>
        <w:rPr>
          <w:rFonts w:ascii="Times New Roman" w:hAnsi="Times New Roman" w:cs="Times New Roman"/>
          <w:b/>
          <w:bCs/>
        </w:rPr>
        <w:t>D. TOPLUMSAL KATKI</w:t>
      </w:r>
    </w:p>
    <w:p>
      <w:pPr>
        <w:spacing w:before="120" w:after="120" w:line="360" w:lineRule="auto"/>
        <w:rPr>
          <w:rFonts w:ascii="Times New Roman" w:hAnsi="Times New Roman" w:cs="Times New Roman"/>
          <w:b/>
          <w:bCs/>
        </w:rPr>
      </w:pPr>
      <w:r>
        <w:rPr>
          <w:rFonts w:ascii="Times New Roman" w:hAnsi="Times New Roman" w:cs="Times New Roman"/>
          <w:b/>
          <w:bCs/>
        </w:rPr>
        <w:t>D.1. Toplumsal Katkı Süreçlerinin Yönetimi</w:t>
      </w:r>
    </w:p>
    <w:p>
      <w:pPr>
        <w:spacing w:before="120" w:after="120" w:line="360" w:lineRule="auto"/>
        <w:rPr>
          <w:rFonts w:ascii="Times New Roman" w:hAnsi="Times New Roman" w:cs="Times New Roman"/>
          <w:b/>
          <w:bCs/>
        </w:rPr>
      </w:pPr>
      <w:r>
        <w:rPr>
          <w:rFonts w:ascii="Times New Roman" w:hAnsi="Times New Roman" w:cs="Times New Roman"/>
          <w:b/>
          <w:bCs/>
        </w:rPr>
        <w:t>D.1.1. Toplumsal katkı politikası, strateji ve hedefleri</w:t>
      </w:r>
    </w:p>
    <w:p>
      <w:pPr>
        <w:spacing w:before="120" w:after="120" w:line="360" w:lineRule="auto"/>
        <w:jc w:val="both"/>
        <w:rPr>
          <w:rFonts w:ascii="Times New Roman" w:hAnsi="Times New Roman" w:cs="Times New Roman"/>
        </w:rPr>
      </w:pPr>
      <w:r>
        <w:rPr>
          <w:rFonts w:ascii="Times New Roman" w:hAnsi="Times New Roman" w:cs="Times New Roman"/>
        </w:rPr>
        <w:t>Alucra Turan Bulutçu Meslek Yüksekokulu, toplumsal katkı faaliyetlerini Giresun Üniversitesi Toplumsal Katkı Politikası ile uyumlu biçimde yürütmektedir. Bu doğrultuda yüksekokul, eğitim-öğretim ve uygulama temelli faaliyetlerini ulusal, bölgesel ve yerel toplumun önceliklerini dikkate alarak planlamaktadır.</w:t>
      </w:r>
    </w:p>
    <w:p>
      <w:pPr>
        <w:spacing w:before="120" w:after="120" w:line="360" w:lineRule="auto"/>
        <w:jc w:val="both"/>
        <w:rPr>
          <w:rFonts w:ascii="Times New Roman" w:hAnsi="Times New Roman" w:cs="Times New Roman"/>
        </w:rPr>
      </w:pPr>
      <w:r>
        <w:rPr>
          <w:rFonts w:ascii="Times New Roman" w:hAnsi="Times New Roman" w:cs="Times New Roman"/>
        </w:rPr>
        <w:t xml:space="preserve">Yüksekokulun toplumsal katkı yaklaşımı; katılımcılık, paydaş odaklılık, sosyal sorumluluk, yaşam boyu öğrenme ve çevresel duyarlılık ilkelerine dayanmaktadır. Toplumsal katkı </w:t>
      </w:r>
      <w:r>
        <w:rPr>
          <w:rFonts w:ascii="Times New Roman" w:hAnsi="Times New Roman" w:cs="Times New Roman"/>
        </w:rPr>
        <w:lastRenderedPageBreak/>
        <w:t>faaliyetleri yalnızca sosyal etkinlikler kapsamında değil; mesleki bilgi aktarımı, farkındalık oluşturma, bölgesel kalkınmaya destek ve öğrenci gelişimi eksenlerinde ele alınmaktadır.</w:t>
      </w:r>
    </w:p>
    <w:p>
      <w:pPr>
        <w:spacing w:before="120" w:after="120" w:line="360" w:lineRule="auto"/>
        <w:jc w:val="both"/>
        <w:rPr>
          <w:rFonts w:ascii="Times New Roman" w:hAnsi="Times New Roman" w:cs="Times New Roman"/>
        </w:rPr>
      </w:pPr>
      <w:r>
        <w:rPr>
          <w:rFonts w:ascii="Times New Roman" w:hAnsi="Times New Roman" w:cs="Times New Roman"/>
        </w:rPr>
        <w:t>2024 yılında toplumsal katkı politikası doğrultusunda öğrencilerin toplumsal duyarlılık ve sorumluluk bilincini güçlendirmeye yönelik faaliyetlere katılım desteklenmiş; gerçekleştirilen etkinlikler kurumsal internet sayfası aracılığıyla kamuoyu ile paylaşılmıştır.</w:t>
      </w:r>
    </w:p>
    <w:p>
      <w:pPr>
        <w:spacing w:before="120" w:after="120" w:line="360" w:lineRule="auto"/>
        <w:jc w:val="both"/>
        <w:rPr>
          <w:rFonts w:ascii="Times New Roman" w:hAnsi="Times New Roman" w:cs="Times New Roman"/>
        </w:rPr>
      </w:pPr>
      <w:r>
        <w:rPr>
          <w:rFonts w:ascii="Times New Roman" w:hAnsi="Times New Roman" w:cs="Times New Roman"/>
        </w:rPr>
        <w:t>2025 yılında ise önceki yıl oluşturulan yaklaşımın sürdürüldüğü ve faaliyetlerin çeşitlendirilerek geliştirildiği görülmektedir. Özellikle sosyal sorumluluk, bölgesel kalkınma ve toplumsal farkındalık temelli çalışmalar kurumsal öncelikler doğrultusunda planlanmıştır.</w:t>
      </w:r>
    </w:p>
    <w:p>
      <w:pPr>
        <w:spacing w:before="120" w:after="120" w:line="360" w:lineRule="auto"/>
        <w:jc w:val="both"/>
        <w:rPr>
          <w:rFonts w:ascii="Times New Roman" w:hAnsi="Times New Roman" w:cs="Times New Roman"/>
        </w:rPr>
      </w:pPr>
      <w:r>
        <w:rPr>
          <w:rFonts w:ascii="Times New Roman" w:hAnsi="Times New Roman" w:cs="Times New Roman"/>
        </w:rPr>
        <w:t>Yüksekokulun toplumsal katkı stratejik hedefleri:</w:t>
      </w:r>
    </w:p>
    <w:p>
      <w:pPr>
        <w:spacing w:before="120" w:after="120" w:line="360" w:lineRule="auto"/>
        <w:jc w:val="both"/>
        <w:rPr>
          <w:rFonts w:ascii="Times New Roman" w:hAnsi="Times New Roman" w:cs="Times New Roman"/>
        </w:rPr>
      </w:pPr>
      <w:r>
        <w:rPr>
          <w:rFonts w:ascii="Segoe UI Symbol" w:hAnsi="Segoe UI Symbol" w:cs="Segoe UI Symbol"/>
        </w:rPr>
        <w:t>✔</w:t>
      </w:r>
      <w:r>
        <w:rPr>
          <w:rFonts w:ascii="Times New Roman" w:hAnsi="Times New Roman" w:cs="Times New Roman"/>
        </w:rPr>
        <w:t xml:space="preserve"> Bölgesel ve yerel ihtiyaçlara yönelik faaliyetleri artırmak</w:t>
      </w:r>
    </w:p>
    <w:p>
      <w:pPr>
        <w:spacing w:before="120" w:after="120" w:line="360" w:lineRule="auto"/>
        <w:jc w:val="both"/>
        <w:rPr>
          <w:rFonts w:ascii="Times New Roman" w:hAnsi="Times New Roman" w:cs="Times New Roman"/>
        </w:rPr>
      </w:pPr>
      <w:r>
        <w:rPr>
          <w:rFonts w:ascii="Segoe UI Symbol" w:hAnsi="Segoe UI Symbol" w:cs="Segoe UI Symbol"/>
        </w:rPr>
        <w:t>✔</w:t>
      </w:r>
      <w:r>
        <w:rPr>
          <w:rFonts w:ascii="Times New Roman" w:hAnsi="Times New Roman" w:cs="Times New Roman"/>
        </w:rPr>
        <w:t xml:space="preserve"> Öğrencilerin toplumsal sorumluluk bilincini geliştirmek</w:t>
      </w:r>
    </w:p>
    <w:p>
      <w:pPr>
        <w:spacing w:before="120" w:after="120" w:line="360" w:lineRule="auto"/>
        <w:jc w:val="both"/>
        <w:rPr>
          <w:rFonts w:ascii="Times New Roman" w:hAnsi="Times New Roman" w:cs="Times New Roman"/>
        </w:rPr>
      </w:pPr>
      <w:r>
        <w:rPr>
          <w:rFonts w:ascii="Segoe UI Symbol" w:hAnsi="Segoe UI Symbol" w:cs="Segoe UI Symbol"/>
        </w:rPr>
        <w:t>✔</w:t>
      </w:r>
      <w:r>
        <w:rPr>
          <w:rFonts w:ascii="Times New Roman" w:hAnsi="Times New Roman" w:cs="Times New Roman"/>
        </w:rPr>
        <w:t xml:space="preserve"> Kamu kurumları ve sivil toplum kuruluşları ile iş birliklerini güçlendirmek</w:t>
      </w:r>
    </w:p>
    <w:p>
      <w:pPr>
        <w:spacing w:before="120" w:after="120" w:line="360" w:lineRule="auto"/>
        <w:jc w:val="both"/>
        <w:rPr>
          <w:rFonts w:ascii="Times New Roman" w:hAnsi="Times New Roman" w:cs="Times New Roman"/>
        </w:rPr>
      </w:pPr>
      <w:r>
        <w:rPr>
          <w:rFonts w:ascii="Segoe UI Symbol" w:hAnsi="Segoe UI Symbol" w:cs="Segoe UI Symbol"/>
        </w:rPr>
        <w:t>✔</w:t>
      </w:r>
      <w:r>
        <w:rPr>
          <w:rFonts w:ascii="Times New Roman" w:hAnsi="Times New Roman" w:cs="Times New Roman"/>
        </w:rPr>
        <w:t xml:space="preserve"> Akademik ve uygulamalı bilginin topluma aktarımını sağlamak</w:t>
      </w:r>
    </w:p>
    <w:p>
      <w:pPr>
        <w:spacing w:before="120" w:after="120" w:line="360" w:lineRule="auto"/>
        <w:jc w:val="both"/>
        <w:rPr>
          <w:rFonts w:ascii="Times New Roman" w:hAnsi="Times New Roman" w:cs="Times New Roman"/>
        </w:rPr>
      </w:pPr>
      <w:r>
        <w:rPr>
          <w:rFonts w:ascii="Segoe UI Symbol" w:hAnsi="Segoe UI Symbol" w:cs="Segoe UI Symbol"/>
        </w:rPr>
        <w:t>✔</w:t>
      </w:r>
      <w:r>
        <w:rPr>
          <w:rFonts w:ascii="Times New Roman" w:hAnsi="Times New Roman" w:cs="Times New Roman"/>
        </w:rPr>
        <w:t xml:space="preserve"> Toplumsal farkındalık ve sosyal kapsayıcılığı desteklemek</w:t>
      </w:r>
    </w:p>
    <w:p>
      <w:pPr>
        <w:spacing w:before="120" w:after="120" w:line="360" w:lineRule="auto"/>
        <w:jc w:val="both"/>
        <w:rPr>
          <w:rFonts w:ascii="Times New Roman" w:hAnsi="Times New Roman" w:cs="Times New Roman"/>
        </w:rPr>
      </w:pPr>
      <w:r>
        <w:rPr>
          <w:rFonts w:ascii="Segoe UI Symbol" w:hAnsi="Segoe UI Symbol" w:cs="Segoe UI Symbol"/>
        </w:rPr>
        <w:t>✔</w:t>
      </w:r>
      <w:r>
        <w:rPr>
          <w:rFonts w:ascii="Times New Roman" w:hAnsi="Times New Roman" w:cs="Times New Roman"/>
        </w:rPr>
        <w:t xml:space="preserve"> Çevresel sürdürülebilirlik bilincini yaygınlaştırmak</w:t>
      </w:r>
    </w:p>
    <w:p>
      <w:pPr>
        <w:spacing w:before="120" w:after="120" w:line="360" w:lineRule="auto"/>
        <w:jc w:val="both"/>
        <w:rPr>
          <w:rFonts w:ascii="Times New Roman" w:hAnsi="Times New Roman" w:cs="Times New Roman"/>
        </w:rPr>
      </w:pPr>
      <w:r>
        <w:rPr>
          <w:rFonts w:ascii="Times New Roman" w:hAnsi="Times New Roman" w:cs="Times New Roman"/>
        </w:rPr>
        <w:t>Bu hedefler doğrultusunda toplumsal katkı faaliyetleri kurumsal gelişim alanı olarak değerlendirilmektedir.</w:t>
      </w:r>
    </w:p>
    <w:p>
      <w:pPr>
        <w:spacing w:before="120" w:after="120" w:line="360" w:lineRule="auto"/>
        <w:rPr>
          <w:rFonts w:ascii="Times New Roman" w:hAnsi="Times New Roman" w:cs="Times New Roman"/>
          <w:b/>
          <w:bCs/>
        </w:rPr>
      </w:pPr>
      <w:r>
        <w:rPr>
          <w:rFonts w:ascii="Times New Roman" w:hAnsi="Times New Roman" w:cs="Times New Roman"/>
          <w:b/>
          <w:bCs/>
        </w:rPr>
        <w:t>D.1.2. Toplumsal katkı süreçlerinin yönetimi</w:t>
      </w:r>
    </w:p>
    <w:p>
      <w:pPr>
        <w:spacing w:before="120" w:after="120" w:line="360" w:lineRule="auto"/>
        <w:jc w:val="both"/>
        <w:rPr>
          <w:rFonts w:ascii="Times New Roman" w:hAnsi="Times New Roman" w:cs="Times New Roman"/>
        </w:rPr>
      </w:pPr>
      <w:r>
        <w:rPr>
          <w:rFonts w:ascii="Times New Roman" w:hAnsi="Times New Roman" w:cs="Times New Roman"/>
        </w:rPr>
        <w:t>Yüksekokulda toplumsal katkı süreçleri, Yüksekokul Müdürlüğü koordinasyonunda planlı ve bütüncül bir yaklaşımla yürütülmektedir. Süreçlerin etkin biçimde işletilmesinde kurullar, komisyonlar, akademik personel ve öğrenci toplulukları aktif rol almaktadır. Bu kapsamda Engelsiz Birim Danışmanlığı Komisyonu, Sosyal, Kültürel ve Akademik Etkinlikler Komisyonu ile Dilek ve Şikâyetleri Değerlendirme Komisyonu toplumsal katkı faaliyetlerinin planlanması, uygulanması ve değerlendirilmesine katkı sunmaktadır. Ayrıca yüksekokul bünyesinde faaliyet gösteren Alucra Toplumsal Duyarlılık Topluluğu (TODUT), öğrencilerin gönüllülük temelli çalışmalara katılımını destekleyen önemli bir yapı olarak öne çıkmaktadır.</w:t>
      </w:r>
    </w:p>
    <w:p>
      <w:pPr>
        <w:spacing w:before="120" w:after="120" w:line="360" w:lineRule="auto"/>
        <w:jc w:val="both"/>
        <w:rPr>
          <w:rFonts w:ascii="Times New Roman" w:hAnsi="Times New Roman" w:cs="Times New Roman"/>
        </w:rPr>
      </w:pPr>
      <w:r>
        <w:rPr>
          <w:rFonts w:ascii="Times New Roman" w:hAnsi="Times New Roman" w:cs="Times New Roman"/>
        </w:rPr>
        <w:t xml:space="preserve">2024 yılında toplumsal katkı süreçlerine ilişkin görev, yetki ve sorumluluk alanları belirlenmiş; öğrencilerin sosyal sorumluluk faaliyetlerine katılımını teşvik eden uygulamalar </w:t>
      </w:r>
      <w:r>
        <w:rPr>
          <w:rFonts w:ascii="Times New Roman" w:hAnsi="Times New Roman" w:cs="Times New Roman"/>
        </w:rPr>
        <w:lastRenderedPageBreak/>
        <w:t>hayata geçirilmiştir. Bu dönemde özellikle öğrenci katılımı, faaliyet koordinasyonu ve kurumsal görünürlük öncelikli alanlar olarak değerlendirilmiştir.</w:t>
      </w:r>
    </w:p>
    <w:p>
      <w:pPr>
        <w:spacing w:before="120" w:after="120" w:line="360" w:lineRule="auto"/>
        <w:jc w:val="both"/>
        <w:rPr>
          <w:rFonts w:ascii="Times New Roman" w:hAnsi="Times New Roman" w:cs="Times New Roman"/>
        </w:rPr>
      </w:pPr>
      <w:r>
        <w:rPr>
          <w:rFonts w:ascii="Times New Roman" w:hAnsi="Times New Roman" w:cs="Times New Roman"/>
        </w:rPr>
        <w:t>2025 yılında ise toplumsal katkı süreçlerinin daha sistematik bir çerçevede yürütüldüğü gözlenmiştir. Faaliyetler planlama, uygulama ve kayıt altına alma yaklaşımı doğrultusunda gerçekleştirilmiş; paydaş iş birlikleri güçlendirilmiştir. Bu kapsamda kan ve kök hücre bağışı kampanyası (Kanıt 1), Gençlik ve Güvenli Gelecek Bilgilendirme Programı (Kanıt 2), Filistin’e Destek Yürüyüşü (Kanıt 3), Sarıkamış Şehitlerini Anma Etkinliği (Kanıt 4) ile TODUT tanıtım ve faaliyetleri (Kanıt 5) gibi çalışmalar yürütülmüştür. Gerçekleştirilen faaliyetler, toplumsal farkındalık oluşturma, gönüllülük kültürünü yaygınlaştırma ve öğrencilerin sosyal sorumluluk bilincini geliştirme açısından önemli katkılar sağlamıştır.</w:t>
      </w:r>
    </w:p>
    <w:p>
      <w:pPr>
        <w:spacing w:before="120" w:after="120" w:line="360" w:lineRule="auto"/>
        <w:jc w:val="both"/>
        <w:rPr>
          <w:rFonts w:ascii="Times New Roman" w:hAnsi="Times New Roman" w:cs="Times New Roman"/>
        </w:rPr>
      </w:pPr>
      <w:r>
        <w:rPr>
          <w:rFonts w:ascii="Times New Roman" w:hAnsi="Times New Roman" w:cs="Times New Roman"/>
        </w:rPr>
        <w:t>Bununla birlikte Laborant ve Veteriner Sağlık Bölümü tarafından yürütülen saha odaklı çalışmalar aracılığıyla hayvan sağlığı, koruyucu hekimlik ve toplumsal bilinçlendirme faaliyetleri desteklenmiş; akademik bilgi ve uygulama temelli eğitim çıktılarının toplum yararına kullanımı sağlanmıştır.</w:t>
      </w:r>
    </w:p>
    <w:p>
      <w:pPr>
        <w:spacing w:before="120" w:after="120" w:line="360" w:lineRule="auto"/>
        <w:jc w:val="both"/>
        <w:rPr>
          <w:rFonts w:ascii="Times New Roman" w:hAnsi="Times New Roman" w:cs="Times New Roman"/>
        </w:rPr>
      </w:pPr>
      <w:r>
        <w:rPr>
          <w:rFonts w:ascii="Times New Roman" w:hAnsi="Times New Roman" w:cs="Times New Roman"/>
        </w:rPr>
        <w:t>Toplumsal katkı faaliyetleri kurumsal internet sayfası üzerinden düzenli olarak duyurulmakta ve belgelenmektedir (Kanıt 1–10). Bu uygulama, faaliyetlerin şeffaflığı, izlenebilirliği ve kurumsal görünürlüğü açısından önemli bir araç olarak değerlendirilmektedir.</w:t>
      </w:r>
    </w:p>
    <w:p>
      <w:pPr>
        <w:spacing w:before="120" w:after="120" w:line="360" w:lineRule="auto"/>
        <w:rPr>
          <w:rFonts w:ascii="Times New Roman" w:hAnsi="Times New Roman" w:cs="Times New Roman"/>
          <w:b/>
          <w:bCs/>
        </w:rPr>
      </w:pPr>
      <w:r>
        <w:rPr>
          <w:rFonts w:ascii="Times New Roman" w:hAnsi="Times New Roman" w:cs="Times New Roman"/>
          <w:b/>
          <w:bCs/>
        </w:rPr>
        <w:t>D.2. Toplumsal Katkı Performansı</w:t>
      </w:r>
    </w:p>
    <w:p>
      <w:pPr>
        <w:spacing w:before="120" w:after="120" w:line="360" w:lineRule="auto"/>
        <w:rPr>
          <w:rFonts w:ascii="Times New Roman" w:hAnsi="Times New Roman" w:cs="Times New Roman"/>
          <w:b/>
          <w:bCs/>
        </w:rPr>
      </w:pPr>
      <w:r>
        <w:rPr>
          <w:rFonts w:ascii="Times New Roman" w:hAnsi="Times New Roman" w:cs="Times New Roman"/>
          <w:b/>
          <w:bCs/>
        </w:rPr>
        <w:t>D.2.1. Toplumsal katkı faaliyetlerinin izlenmesi ve değerlendirilmesi</w:t>
      </w:r>
    </w:p>
    <w:p>
      <w:pPr>
        <w:spacing w:before="120" w:after="120" w:line="360" w:lineRule="auto"/>
        <w:jc w:val="both"/>
        <w:rPr>
          <w:rFonts w:ascii="Times New Roman" w:hAnsi="Times New Roman" w:cs="Times New Roman"/>
        </w:rPr>
      </w:pPr>
      <w:r>
        <w:rPr>
          <w:rFonts w:ascii="Times New Roman" w:hAnsi="Times New Roman" w:cs="Times New Roman"/>
        </w:rPr>
        <w:t>2024 yılı değerlendirmelerinde, yüksekokulun toplumsal katkı performansının izlenmesi ve değerlendirilmesine yönelik süreçlerin geliştirilmesine ihtiyaç duyulduğu belirlenmiştir. Bu tespit doğrultusunda 2025 yılında toplumsal katkı faaliyetlerinin daha sistematik bir yaklaşımla ele alınmasına yönelik iyileştirme çalışmaları gerçekleştirilmiştir.</w:t>
      </w:r>
    </w:p>
    <w:p>
      <w:pPr>
        <w:spacing w:before="120" w:after="120" w:line="360" w:lineRule="auto"/>
        <w:jc w:val="both"/>
        <w:rPr>
          <w:rFonts w:ascii="Times New Roman" w:hAnsi="Times New Roman" w:cs="Times New Roman"/>
        </w:rPr>
      </w:pPr>
      <w:r>
        <w:rPr>
          <w:rFonts w:ascii="Times New Roman" w:hAnsi="Times New Roman" w:cs="Times New Roman"/>
        </w:rPr>
        <w:t>Bu kapsamda; faaliyetlerin düzenli olarak kayıt altına alınması, katılımcı profili ve hedef kitle bilgilerinin izlenmesi, faaliyet çıktılarının değerlendirilmesi ve kurumsal görünürlüğün artırılmasına yönelik uygulamalar hayata geçirilmiştir. Söz konusu düzenlemeler, toplumsal katkı faaliyetlerinin izlenebilirliğini ve sürdürülebilirliğini güçlendirmiştir.</w:t>
      </w:r>
    </w:p>
    <w:p>
      <w:pPr>
        <w:spacing w:before="120" w:after="120" w:line="360" w:lineRule="auto"/>
        <w:jc w:val="both"/>
        <w:rPr>
          <w:rFonts w:ascii="Times New Roman" w:hAnsi="Times New Roman" w:cs="Times New Roman"/>
        </w:rPr>
      </w:pPr>
      <w:r>
        <w:rPr>
          <w:rFonts w:ascii="Times New Roman" w:hAnsi="Times New Roman" w:cs="Times New Roman"/>
        </w:rPr>
        <w:t xml:space="preserve">2025 yılı içerisinde yürütülen toplumsal katkı faaliyetleri; sosyal sorumluluk, bölgesel kalkınma, toplumsal farkındalık ve çevresel sürdürülebilirlik boyutlarında değerlendirilmiştir. Faaliyetlerin kurumsal web sayfası aracılığıyla kamuoyu ile paylaşılması (Kanıt 1–10), hem </w:t>
      </w:r>
      <w:r>
        <w:rPr>
          <w:rFonts w:ascii="Times New Roman" w:hAnsi="Times New Roman" w:cs="Times New Roman"/>
        </w:rPr>
        <w:lastRenderedPageBreak/>
        <w:t>faaliyetlerin belgelenmesine hem de yüksekokulun kurumsal görünürlüğünün artırılmasına katkı sağlamıştır.</w:t>
      </w:r>
    </w:p>
    <w:p>
      <w:pPr>
        <w:spacing w:before="120" w:after="120" w:line="360" w:lineRule="auto"/>
        <w:jc w:val="both"/>
        <w:rPr>
          <w:rFonts w:ascii="Times New Roman" w:hAnsi="Times New Roman" w:cs="Times New Roman"/>
        </w:rPr>
      </w:pPr>
      <w:r>
        <w:rPr>
          <w:rFonts w:ascii="Times New Roman" w:hAnsi="Times New Roman" w:cs="Times New Roman"/>
        </w:rPr>
        <w:t>Yapılan izleme ve değerlendirme sonuçları, öğrenci katılımında artış sağlandığını, paydaş iş birliklerinin güçlendiğini, bölgesel ihtiyaçlara yönelik faaliyetlerde süreklilik oluşturulduğunu ve toplumsal farkındalık çalışmalarında çeşitliliğin artırıldığını göstermektedir. Elde edilen bulgular, yüksekokulun toplumsal katkı alanındaki kurumsal kapasitesinin geliştiğine işaret etmektedir.</w:t>
      </w:r>
    </w:p>
    <w:p>
      <w:pPr>
        <w:spacing w:before="120" w:after="120" w:line="360" w:lineRule="auto"/>
        <w:rPr>
          <w:rFonts w:ascii="Times New Roman" w:hAnsi="Times New Roman" w:cs="Times New Roman"/>
          <w:b/>
          <w:bCs/>
        </w:rPr>
      </w:pPr>
      <w:r>
        <w:rPr>
          <w:rFonts w:ascii="Times New Roman" w:hAnsi="Times New Roman" w:cs="Times New Roman"/>
          <w:b/>
          <w:bCs/>
        </w:rPr>
        <w:t>D.2.2. Sosyal sorumluluk projeleri</w:t>
      </w:r>
    </w:p>
    <w:p>
      <w:pPr>
        <w:spacing w:before="120" w:after="120" w:line="360" w:lineRule="auto"/>
        <w:jc w:val="both"/>
        <w:rPr>
          <w:rFonts w:ascii="Times New Roman" w:hAnsi="Times New Roman" w:cs="Times New Roman"/>
        </w:rPr>
      </w:pPr>
      <w:r>
        <w:rPr>
          <w:rFonts w:ascii="Times New Roman" w:hAnsi="Times New Roman" w:cs="Times New Roman"/>
        </w:rPr>
        <w:t>Alucra Turan Bulutçu Meslek Yüksekokulu, 2025 yılı boyunca öğrencilerin toplumsal sorumluluk bilincini geliştirmeye ve gönüllülük temelli faaliyetlere katılımını artırmaya yönelik çeşitli sosyal sorumluluk projeleri yürütmüştür. Gerçekleştirilen çalışmalar, öğrencilerin toplumsal duyarlılıklarının güçlendirilmesi, sosyal farkındalık düzeylerinin artırılması ve üniversite-toplum etkileşiminin desteklenmesi amacıyla planlanmıştır.</w:t>
      </w:r>
    </w:p>
    <w:p>
      <w:pPr>
        <w:pStyle w:val="ListeParagraf"/>
        <w:numPr>
          <w:ilvl w:val="0"/>
          <w:numId w:val="9"/>
        </w:numPr>
        <w:spacing w:before="120" w:after="120" w:line="360" w:lineRule="auto"/>
        <w:ind w:left="709"/>
        <w:jc w:val="both"/>
        <w:rPr>
          <w:rFonts w:ascii="Times New Roman" w:hAnsi="Times New Roman" w:cs="Times New Roman"/>
        </w:rPr>
      </w:pPr>
      <w:r>
        <w:rPr>
          <w:rFonts w:ascii="Times New Roman" w:hAnsi="Times New Roman" w:cs="Times New Roman"/>
        </w:rPr>
        <w:t xml:space="preserve">Türk </w:t>
      </w:r>
      <w:proofErr w:type="spellStart"/>
      <w:r>
        <w:rPr>
          <w:rFonts w:ascii="Times New Roman" w:hAnsi="Times New Roman" w:cs="Times New Roman"/>
        </w:rPr>
        <w:t>Kızılayı</w:t>
      </w:r>
      <w:proofErr w:type="spellEnd"/>
      <w:r>
        <w:rPr>
          <w:rFonts w:ascii="Times New Roman" w:hAnsi="Times New Roman" w:cs="Times New Roman"/>
        </w:rPr>
        <w:t xml:space="preserve"> iş birliğiyle kan ve kök hücre bağışı kampanyası (Kanıt 1)</w:t>
      </w:r>
    </w:p>
    <w:p>
      <w:pPr>
        <w:pStyle w:val="ListeParagraf"/>
        <w:numPr>
          <w:ilvl w:val="0"/>
          <w:numId w:val="9"/>
        </w:numPr>
        <w:spacing w:before="120" w:after="120" w:line="360" w:lineRule="auto"/>
        <w:ind w:left="709"/>
        <w:jc w:val="both"/>
        <w:rPr>
          <w:rFonts w:ascii="Times New Roman" w:hAnsi="Times New Roman" w:cs="Times New Roman"/>
        </w:rPr>
      </w:pPr>
      <w:r>
        <w:rPr>
          <w:rFonts w:ascii="Times New Roman" w:hAnsi="Times New Roman" w:cs="Times New Roman"/>
        </w:rPr>
        <w:t>İl Emniyet Müdürlüğü iş birliğiyle Gençlik ve Güvenli Gelecek Bilgilendirme Programı (Kanıt 2)</w:t>
      </w:r>
    </w:p>
    <w:p>
      <w:pPr>
        <w:pStyle w:val="ListeParagraf"/>
        <w:numPr>
          <w:ilvl w:val="0"/>
          <w:numId w:val="9"/>
        </w:numPr>
        <w:spacing w:before="120" w:after="120" w:line="360" w:lineRule="auto"/>
        <w:ind w:left="709"/>
        <w:jc w:val="both"/>
        <w:rPr>
          <w:rFonts w:ascii="Times New Roman" w:hAnsi="Times New Roman" w:cs="Times New Roman"/>
        </w:rPr>
      </w:pPr>
      <w:r>
        <w:rPr>
          <w:rFonts w:ascii="Times New Roman" w:hAnsi="Times New Roman" w:cs="Times New Roman"/>
        </w:rPr>
        <w:t>Toplumsal farkındalık temelli yürüyüş faaliyetleri (Kanıt 3)</w:t>
      </w:r>
    </w:p>
    <w:p>
      <w:pPr>
        <w:pStyle w:val="ListeParagraf"/>
        <w:numPr>
          <w:ilvl w:val="0"/>
          <w:numId w:val="9"/>
        </w:numPr>
        <w:spacing w:before="120" w:after="120" w:line="360" w:lineRule="auto"/>
        <w:ind w:left="709"/>
        <w:jc w:val="both"/>
        <w:rPr>
          <w:rFonts w:ascii="Times New Roman" w:hAnsi="Times New Roman" w:cs="Times New Roman"/>
        </w:rPr>
      </w:pPr>
      <w:r>
        <w:rPr>
          <w:rFonts w:ascii="Times New Roman" w:hAnsi="Times New Roman" w:cs="Times New Roman"/>
        </w:rPr>
        <w:t>Tarihsel bilinç ve toplumsal hafıza temelli etkinlikler (Kanıt 4)</w:t>
      </w:r>
    </w:p>
    <w:p>
      <w:pPr>
        <w:pStyle w:val="ListeParagraf"/>
        <w:numPr>
          <w:ilvl w:val="0"/>
          <w:numId w:val="9"/>
        </w:numPr>
        <w:spacing w:before="120" w:after="120" w:line="360" w:lineRule="auto"/>
        <w:ind w:left="709"/>
        <w:jc w:val="both"/>
        <w:rPr>
          <w:rFonts w:ascii="Times New Roman" w:hAnsi="Times New Roman" w:cs="Times New Roman"/>
        </w:rPr>
      </w:pPr>
      <w:r>
        <w:rPr>
          <w:rFonts w:ascii="Times New Roman" w:hAnsi="Times New Roman" w:cs="Times New Roman"/>
        </w:rPr>
        <w:t>TODUT aracılığıyla yürütülen öğrenci topluluğu faaliyetleri (Kanıt 5)</w:t>
      </w:r>
    </w:p>
    <w:p>
      <w:pPr>
        <w:spacing w:before="120" w:after="120" w:line="360" w:lineRule="auto"/>
        <w:jc w:val="both"/>
        <w:rPr>
          <w:rFonts w:ascii="Times New Roman" w:hAnsi="Times New Roman" w:cs="Times New Roman"/>
        </w:rPr>
      </w:pPr>
      <w:r>
        <w:rPr>
          <w:rFonts w:ascii="Times New Roman" w:hAnsi="Times New Roman" w:cs="Times New Roman"/>
        </w:rPr>
        <w:t xml:space="preserve">Bu kapsamda Türk </w:t>
      </w:r>
      <w:proofErr w:type="spellStart"/>
      <w:r>
        <w:rPr>
          <w:rFonts w:ascii="Times New Roman" w:hAnsi="Times New Roman" w:cs="Times New Roman"/>
        </w:rPr>
        <w:t>Kızılayı</w:t>
      </w:r>
      <w:proofErr w:type="spellEnd"/>
      <w:r>
        <w:rPr>
          <w:rFonts w:ascii="Times New Roman" w:hAnsi="Times New Roman" w:cs="Times New Roman"/>
        </w:rPr>
        <w:t xml:space="preserve"> iş birliğiyle düzenlenen kan ve kök hücre bağışı kampanyasında öğrencilerin aktif katılımı sağlanmış; kampanya aracılığıyla toplumsal dayanışma ve gönüllülük bilinci desteklenmiştir (Kanıt 1). İl Emniyet Müdürlüğü iş birliğiyle gerçekleştirilen Gençlik ve Güvenli Gelecek Bilgilendirme Programı ile öğrencilere bağımlılıkla mücadele, güvenli yaşam ve toplumsal sorumluluk konularında farkındalık kazandırılmıştır (Kanıt 2).</w:t>
      </w:r>
    </w:p>
    <w:p>
      <w:pPr>
        <w:spacing w:before="120" w:after="120" w:line="360" w:lineRule="auto"/>
        <w:jc w:val="both"/>
        <w:rPr>
          <w:rFonts w:ascii="Times New Roman" w:hAnsi="Times New Roman" w:cs="Times New Roman"/>
        </w:rPr>
      </w:pPr>
      <w:r>
        <w:rPr>
          <w:rFonts w:ascii="Times New Roman" w:hAnsi="Times New Roman" w:cs="Times New Roman"/>
        </w:rPr>
        <w:t>Toplumsal farkındalık ve duyarlılık temelli faaliyetler kapsamında düzenlenen Filistin’e Destek Yürüyüşü, öğrencilerin küresel ve insani konulara yönelik bilinç düzeylerinin artırılmasına katkı sağlamıştır (Kanıt 3). Sarıkamış Şehitlerini Anma Etkinliği ise tarihsel bilinç, toplumsal hafıza ve milli değerler çerçevesinde öğrencilerin sosyal ve kültürel gelişimlerini destekleyen bir faaliyet olarak gerçekleştirilmiştir (Kanıt 4).</w:t>
      </w:r>
    </w:p>
    <w:p>
      <w:pPr>
        <w:spacing w:before="120" w:after="120" w:line="360" w:lineRule="auto"/>
        <w:jc w:val="both"/>
        <w:rPr>
          <w:rFonts w:ascii="Times New Roman" w:hAnsi="Times New Roman" w:cs="Times New Roman"/>
        </w:rPr>
      </w:pPr>
      <w:r>
        <w:rPr>
          <w:rFonts w:ascii="Times New Roman" w:hAnsi="Times New Roman" w:cs="Times New Roman"/>
        </w:rPr>
        <w:lastRenderedPageBreak/>
        <w:t>Öğrenci katılımını ve gönüllülük kültürünü güçlendiren önemli yapılardan biri olan Alucra Toplumsal Duyarlılık Topluluğu (TODUT) aracılığıyla yıl boyunca toplumsal duyarlılık temelli etkinlikler yürütülmüş; öğrencilerin sosyal sorumluluk faaliyetlerine aktif katılımı teşvik edilmiştir (Kanıt 5).</w:t>
      </w:r>
    </w:p>
    <w:p>
      <w:pPr>
        <w:spacing w:before="120" w:after="120" w:line="360" w:lineRule="auto"/>
        <w:jc w:val="both"/>
        <w:rPr>
          <w:rFonts w:ascii="Times New Roman" w:hAnsi="Times New Roman" w:cs="Times New Roman"/>
        </w:rPr>
      </w:pPr>
      <w:r>
        <w:rPr>
          <w:rFonts w:ascii="Times New Roman" w:hAnsi="Times New Roman" w:cs="Times New Roman"/>
        </w:rPr>
        <w:t>Gerçekleştirilen sosyal sorumluluk projeleri sayesinde öğrencilerin toplumsal duyarlılıklarının güçlendiği, gönüllülük kültürünün desteklendiği, sosyal sorumluluk bilincinin geliştiği ve üniversite-toplum etkileşiminin artırıldığı değerlendirilmiştir.</w:t>
      </w:r>
    </w:p>
    <w:p>
      <w:pPr>
        <w:spacing w:before="120" w:after="120" w:line="360" w:lineRule="auto"/>
        <w:rPr>
          <w:rFonts w:ascii="Times New Roman" w:hAnsi="Times New Roman" w:cs="Times New Roman"/>
          <w:b/>
          <w:bCs/>
        </w:rPr>
      </w:pPr>
      <w:r>
        <w:rPr>
          <w:rFonts w:ascii="Times New Roman" w:hAnsi="Times New Roman" w:cs="Times New Roman"/>
          <w:b/>
          <w:bCs/>
        </w:rPr>
        <w:t>D.2.3. Bölgesel kalkınmaya katkı</w:t>
      </w:r>
    </w:p>
    <w:p>
      <w:pPr>
        <w:spacing w:before="120" w:after="120" w:line="360" w:lineRule="auto"/>
        <w:jc w:val="both"/>
        <w:rPr>
          <w:rFonts w:ascii="Times New Roman" w:hAnsi="Times New Roman" w:cs="Times New Roman"/>
        </w:rPr>
      </w:pPr>
      <w:r>
        <w:rPr>
          <w:rFonts w:ascii="Times New Roman" w:hAnsi="Times New Roman" w:cs="Times New Roman"/>
        </w:rPr>
        <w:t xml:space="preserve">Alucra Turan Bulutçu Meslek Yüksekokulu, bulunduğu bölgenin </w:t>
      </w:r>
      <w:proofErr w:type="spellStart"/>
      <w:r>
        <w:rPr>
          <w:rFonts w:ascii="Times New Roman" w:hAnsi="Times New Roman" w:cs="Times New Roman"/>
        </w:rPr>
        <w:t>sosyo</w:t>
      </w:r>
      <w:proofErr w:type="spellEnd"/>
      <w:r>
        <w:rPr>
          <w:rFonts w:ascii="Times New Roman" w:hAnsi="Times New Roman" w:cs="Times New Roman"/>
        </w:rPr>
        <w:t>-ekonomik yapısını dikkate alarak özellikle tarım ve hayvancılık alanlarında bölgesel kalkınmaya katkı sunmaya yönelik faaliyetler yürütmektedir. Bu kapsamda yüksekokul, yerel üreticilere yönelik bilimsel temelli bilgilendirme ve farkındalık çalışmaları aracılığıyla akademik bilgi birikiminin sahaya aktarılmasını hedeflemektedir.</w:t>
      </w:r>
    </w:p>
    <w:p>
      <w:pPr>
        <w:pStyle w:val="ListeParagraf"/>
        <w:numPr>
          <w:ilvl w:val="0"/>
          <w:numId w:val="10"/>
        </w:numPr>
        <w:spacing w:before="120" w:after="120" w:line="360" w:lineRule="auto"/>
        <w:ind w:left="709"/>
        <w:jc w:val="both"/>
        <w:rPr>
          <w:rFonts w:ascii="Times New Roman" w:hAnsi="Times New Roman" w:cs="Times New Roman"/>
        </w:rPr>
      </w:pPr>
      <w:r>
        <w:rPr>
          <w:rFonts w:ascii="Times New Roman" w:hAnsi="Times New Roman" w:cs="Times New Roman"/>
        </w:rPr>
        <w:t>Tarım ve hayvancılık alanında üreticilere yönelik saha eğitimleri</w:t>
      </w:r>
    </w:p>
    <w:p>
      <w:pPr>
        <w:pStyle w:val="ListeParagraf"/>
        <w:numPr>
          <w:ilvl w:val="0"/>
          <w:numId w:val="10"/>
        </w:numPr>
        <w:spacing w:before="120" w:after="120" w:line="360" w:lineRule="auto"/>
        <w:ind w:left="709"/>
        <w:jc w:val="both"/>
        <w:rPr>
          <w:rFonts w:ascii="Times New Roman" w:hAnsi="Times New Roman" w:cs="Times New Roman"/>
        </w:rPr>
      </w:pPr>
      <w:r>
        <w:rPr>
          <w:rFonts w:ascii="Times New Roman" w:hAnsi="Times New Roman" w:cs="Times New Roman"/>
        </w:rPr>
        <w:t>İlçe Tarım ve Orman Müdürlüğü iş birlikleri</w:t>
      </w:r>
    </w:p>
    <w:p>
      <w:pPr>
        <w:pStyle w:val="ListeParagraf"/>
        <w:numPr>
          <w:ilvl w:val="0"/>
          <w:numId w:val="10"/>
        </w:numPr>
        <w:spacing w:before="120" w:after="120" w:line="360" w:lineRule="auto"/>
        <w:ind w:left="709"/>
        <w:jc w:val="both"/>
        <w:rPr>
          <w:rFonts w:ascii="Times New Roman" w:hAnsi="Times New Roman" w:cs="Times New Roman"/>
        </w:rPr>
      </w:pPr>
      <w:r>
        <w:rPr>
          <w:rFonts w:ascii="Times New Roman" w:hAnsi="Times New Roman" w:cs="Times New Roman"/>
        </w:rPr>
        <w:t>Aktepe Köyü Çiftçi Bilgilendirme Toplantısı (Kanıt 6)</w:t>
      </w:r>
    </w:p>
    <w:p>
      <w:pPr>
        <w:pStyle w:val="ListeParagraf"/>
        <w:numPr>
          <w:ilvl w:val="0"/>
          <w:numId w:val="10"/>
        </w:numPr>
        <w:spacing w:before="120" w:after="120" w:line="360" w:lineRule="auto"/>
        <w:ind w:left="709"/>
        <w:jc w:val="both"/>
        <w:rPr>
          <w:rFonts w:ascii="Times New Roman" w:hAnsi="Times New Roman" w:cs="Times New Roman"/>
        </w:rPr>
      </w:pPr>
      <w:r>
        <w:rPr>
          <w:rFonts w:ascii="Times New Roman" w:hAnsi="Times New Roman" w:cs="Times New Roman"/>
        </w:rPr>
        <w:t>Yeşilyurt Köyü Üretici Eğitimi (Kanıt 7)</w:t>
      </w:r>
    </w:p>
    <w:p>
      <w:pPr>
        <w:pStyle w:val="ListeParagraf"/>
        <w:numPr>
          <w:ilvl w:val="0"/>
          <w:numId w:val="10"/>
        </w:numPr>
        <w:spacing w:before="120" w:after="120" w:line="360" w:lineRule="auto"/>
        <w:ind w:left="709"/>
        <w:jc w:val="both"/>
        <w:rPr>
          <w:rFonts w:ascii="Times New Roman" w:hAnsi="Times New Roman" w:cs="Times New Roman"/>
        </w:rPr>
      </w:pPr>
      <w:proofErr w:type="spellStart"/>
      <w:r>
        <w:rPr>
          <w:rFonts w:ascii="Times New Roman" w:hAnsi="Times New Roman" w:cs="Times New Roman"/>
        </w:rPr>
        <w:t>Doludere</w:t>
      </w:r>
      <w:proofErr w:type="spellEnd"/>
      <w:r>
        <w:rPr>
          <w:rFonts w:ascii="Times New Roman" w:hAnsi="Times New Roman" w:cs="Times New Roman"/>
        </w:rPr>
        <w:t xml:space="preserve"> Köyü Bilgilendirme Toplantısı (Kanıt 8)</w:t>
      </w:r>
    </w:p>
    <w:p>
      <w:pPr>
        <w:pStyle w:val="ListeParagraf"/>
        <w:numPr>
          <w:ilvl w:val="0"/>
          <w:numId w:val="10"/>
        </w:numPr>
        <w:spacing w:before="120" w:after="120" w:line="360" w:lineRule="auto"/>
        <w:ind w:left="709"/>
        <w:jc w:val="both"/>
        <w:rPr>
          <w:rFonts w:ascii="Times New Roman" w:hAnsi="Times New Roman" w:cs="Times New Roman"/>
        </w:rPr>
      </w:pPr>
      <w:r>
        <w:rPr>
          <w:rFonts w:ascii="Times New Roman" w:hAnsi="Times New Roman" w:cs="Times New Roman"/>
        </w:rPr>
        <w:t>Akademik personel ve öğrencilerin sahada birlikte görev alması</w:t>
      </w:r>
    </w:p>
    <w:p>
      <w:pPr>
        <w:pStyle w:val="ListeParagraf"/>
        <w:numPr>
          <w:ilvl w:val="0"/>
          <w:numId w:val="10"/>
        </w:numPr>
        <w:spacing w:before="120" w:after="120" w:line="360" w:lineRule="auto"/>
        <w:ind w:left="709"/>
        <w:jc w:val="both"/>
        <w:rPr>
          <w:rFonts w:ascii="Times New Roman" w:hAnsi="Times New Roman" w:cs="Times New Roman"/>
        </w:rPr>
      </w:pPr>
      <w:r>
        <w:rPr>
          <w:rFonts w:ascii="Times New Roman" w:hAnsi="Times New Roman" w:cs="Times New Roman"/>
        </w:rPr>
        <w:t>Kaymakamlık ve Belediye ile kurumsal etkileşimlerin güçlendirilmesi (Kanıt 9)</w:t>
      </w:r>
    </w:p>
    <w:p>
      <w:pPr>
        <w:spacing w:before="120" w:after="120" w:line="360" w:lineRule="auto"/>
        <w:jc w:val="both"/>
        <w:rPr>
          <w:rFonts w:ascii="Times New Roman" w:hAnsi="Times New Roman" w:cs="Times New Roman"/>
        </w:rPr>
      </w:pPr>
      <w:r>
        <w:rPr>
          <w:rFonts w:ascii="Times New Roman" w:hAnsi="Times New Roman" w:cs="Times New Roman"/>
        </w:rPr>
        <w:t xml:space="preserve">2025 yılı içerisinde İlçe Tarım ve Orman Müdürlüğü iş birliğiyle Aktepe Köyü Çiftçi Bilgilendirme Toplantısı (Kanıt 6), Yeşilyurt Köyü Üretici Eğitimi (Kanıt 7) ve </w:t>
      </w:r>
      <w:proofErr w:type="spellStart"/>
      <w:r>
        <w:rPr>
          <w:rFonts w:ascii="Times New Roman" w:hAnsi="Times New Roman" w:cs="Times New Roman"/>
        </w:rPr>
        <w:t>Doludere</w:t>
      </w:r>
      <w:proofErr w:type="spellEnd"/>
      <w:r>
        <w:rPr>
          <w:rFonts w:ascii="Times New Roman" w:hAnsi="Times New Roman" w:cs="Times New Roman"/>
        </w:rPr>
        <w:t xml:space="preserve"> Köyü Bilgilendirme Toplantısı (Kanıt 8) gerçekleştirilmiştir. Söz konusu faaliyetlerde hayvan hastalıkları, koruyucu hekimlik uygulamaları, tarımsal destekleme programları ve sürdürülebilir üretim yöntemleri konularında üreticilere uygulamaya dönük bilgiler aktarılmıştır. Faaliyetlere öğretim elemanları ile öğrencilerin birlikte katılım sağlaması, uygulama temelli eğitimin toplumsal katkı boyutunu güçlendirmiştir.</w:t>
      </w:r>
    </w:p>
    <w:p>
      <w:pPr>
        <w:spacing w:before="120" w:after="120" w:line="360" w:lineRule="auto"/>
        <w:jc w:val="both"/>
        <w:rPr>
          <w:rFonts w:ascii="Times New Roman" w:hAnsi="Times New Roman" w:cs="Times New Roman"/>
        </w:rPr>
      </w:pPr>
      <w:r>
        <w:rPr>
          <w:rFonts w:ascii="Times New Roman" w:hAnsi="Times New Roman" w:cs="Times New Roman"/>
        </w:rPr>
        <w:t>Gerçekleştirilen saha eğitimleri, yerel üreticilerin mesleki bilgi düzeylerinin artırılmasına, tarım ve hayvancılık uygulamalarında bilinçlendirme sağlanmasına ve üniversite-toplum etkileşiminin geliştirilmesine katkı sunmuştur.</w:t>
      </w:r>
    </w:p>
    <w:p>
      <w:pPr>
        <w:spacing w:before="120" w:after="120" w:line="360" w:lineRule="auto"/>
        <w:jc w:val="both"/>
        <w:rPr>
          <w:rFonts w:ascii="Times New Roman" w:hAnsi="Times New Roman" w:cs="Times New Roman"/>
        </w:rPr>
      </w:pPr>
      <w:r>
        <w:rPr>
          <w:rFonts w:ascii="Times New Roman" w:hAnsi="Times New Roman" w:cs="Times New Roman"/>
        </w:rPr>
        <w:lastRenderedPageBreak/>
        <w:t>Ayrıca Kaymakamlık ve Belediye ile gerçekleştirilen kurumsal ziyaretler aracılığıyla yerel paydaşlarla iletişim ve iş birliği ilişkileri güçlendirilmiştir (Kanıt 9).</w:t>
      </w:r>
    </w:p>
    <w:p>
      <w:pPr>
        <w:spacing w:before="120" w:after="120" w:line="360" w:lineRule="auto"/>
        <w:rPr>
          <w:rFonts w:ascii="Times New Roman" w:hAnsi="Times New Roman" w:cs="Times New Roman"/>
          <w:b/>
          <w:bCs/>
        </w:rPr>
      </w:pPr>
      <w:r>
        <w:rPr>
          <w:rFonts w:ascii="Times New Roman" w:hAnsi="Times New Roman" w:cs="Times New Roman"/>
          <w:b/>
          <w:bCs/>
        </w:rPr>
        <w:t>D.2.4. Sürdürülebilirlik ve yaygın etki</w:t>
      </w:r>
    </w:p>
    <w:p>
      <w:pPr>
        <w:spacing w:before="120" w:after="120" w:line="360" w:lineRule="auto"/>
        <w:jc w:val="both"/>
        <w:rPr>
          <w:rFonts w:ascii="Times New Roman" w:hAnsi="Times New Roman" w:cs="Times New Roman"/>
        </w:rPr>
      </w:pPr>
      <w:r>
        <w:rPr>
          <w:rFonts w:ascii="Times New Roman" w:hAnsi="Times New Roman" w:cs="Times New Roman"/>
        </w:rPr>
        <w:t>Yüksekokulda toplumsal katkı faaliyetleri, tek seferlik etkinlikler yerine süreklilik ve sürdürülebilir etki anlayışı çerçevesinde planlanmaktadır. Kamu kurumlarıyla kurulan iş birlikleri, öğrenci topluluklarının aktif katılımı ve akademik personelin yürüttüğü saha çalışmaları sayesinde faaliyetlerin yaygın etkisinin artırılması amaçlanmaktadır.</w:t>
      </w:r>
    </w:p>
    <w:p>
      <w:pPr>
        <w:pStyle w:val="ListeParagraf"/>
        <w:numPr>
          <w:ilvl w:val="0"/>
          <w:numId w:val="11"/>
        </w:numPr>
        <w:spacing w:before="120" w:after="120" w:line="360" w:lineRule="auto"/>
        <w:ind w:left="709"/>
        <w:jc w:val="both"/>
        <w:rPr>
          <w:rFonts w:ascii="Times New Roman" w:hAnsi="Times New Roman" w:cs="Times New Roman"/>
        </w:rPr>
      </w:pPr>
      <w:r>
        <w:rPr>
          <w:rFonts w:ascii="Times New Roman" w:hAnsi="Times New Roman" w:cs="Times New Roman"/>
        </w:rPr>
        <w:t>Fidan dikim etkinliği (Kanıt 10)</w:t>
      </w:r>
    </w:p>
    <w:p>
      <w:pPr>
        <w:pStyle w:val="ListeParagraf"/>
        <w:numPr>
          <w:ilvl w:val="0"/>
          <w:numId w:val="11"/>
        </w:numPr>
        <w:spacing w:before="120" w:after="120" w:line="360" w:lineRule="auto"/>
        <w:ind w:left="709"/>
        <w:jc w:val="both"/>
        <w:rPr>
          <w:rFonts w:ascii="Times New Roman" w:hAnsi="Times New Roman" w:cs="Times New Roman"/>
        </w:rPr>
      </w:pPr>
      <w:r>
        <w:rPr>
          <w:rFonts w:ascii="Times New Roman" w:hAnsi="Times New Roman" w:cs="Times New Roman"/>
        </w:rPr>
        <w:t>Çevre duyarlılığı ve farkındalık kazanımlarının desteklenmesi</w:t>
      </w:r>
    </w:p>
    <w:p>
      <w:pPr>
        <w:spacing w:before="120" w:after="120" w:line="360" w:lineRule="auto"/>
        <w:jc w:val="both"/>
        <w:rPr>
          <w:rFonts w:ascii="Times New Roman" w:hAnsi="Times New Roman" w:cs="Times New Roman"/>
        </w:rPr>
      </w:pPr>
      <w:r>
        <w:rPr>
          <w:rFonts w:ascii="Times New Roman" w:hAnsi="Times New Roman" w:cs="Times New Roman"/>
        </w:rPr>
        <w:t>Bu doğrultuda çevresel sürdürülebilirlik bilincinin geliştirilmesine yönelik olarak gerçekleştirilen fidan dikim etkinliği, öğrencilerde ve yerel paydaşlarda çevre duyarlılığının artırılmasına katkı sağlamıştır (Kanıt 10).</w:t>
      </w:r>
    </w:p>
    <w:p>
      <w:pPr>
        <w:spacing w:before="120" w:after="120" w:line="360" w:lineRule="auto"/>
        <w:jc w:val="both"/>
        <w:rPr>
          <w:rFonts w:ascii="Times New Roman" w:hAnsi="Times New Roman" w:cs="Times New Roman"/>
        </w:rPr>
      </w:pPr>
      <w:r>
        <w:rPr>
          <w:rFonts w:ascii="Times New Roman" w:hAnsi="Times New Roman" w:cs="Times New Roman"/>
        </w:rPr>
        <w:t>Bunun yanında Alucra Kalkınma ve Eğitim Vakfı ile yürütülen temaslar aracılığıyla yüksekokulun eğitim faaliyetlerinin desteklenmesi, sosyal gelişim kapasitesinin güçlendirilmesi ve yerel iş birliklerinin sürdürülebilir hale getirilmesi hedeflenmiştir (Kanıt 11).</w:t>
      </w:r>
    </w:p>
    <w:p>
      <w:pPr>
        <w:spacing w:before="120" w:after="120" w:line="360" w:lineRule="auto"/>
        <w:jc w:val="both"/>
        <w:rPr>
          <w:rFonts w:ascii="Times New Roman" w:hAnsi="Times New Roman" w:cs="Times New Roman"/>
        </w:rPr>
      </w:pPr>
      <w:r>
        <w:rPr>
          <w:rFonts w:ascii="Times New Roman" w:hAnsi="Times New Roman" w:cs="Times New Roman"/>
        </w:rPr>
        <w:t>Bu uygulamalar, toplumsal katkı faaliyetlerinin kurumsallaşmasına, paydaş katılımının güçlenmesine ve sürdürülebilir sosyal etki oluşturulmasına katkı sunmaktadır.</w:t>
      </w:r>
    </w:p>
    <w:p>
      <w:pPr>
        <w:spacing w:before="120" w:after="120" w:line="360" w:lineRule="auto"/>
        <w:rPr>
          <w:rFonts w:ascii="Times New Roman" w:hAnsi="Times New Roman" w:cs="Times New Roman"/>
          <w:b/>
          <w:bCs/>
        </w:rPr>
      </w:pPr>
      <w:r>
        <w:rPr>
          <w:rFonts w:ascii="Times New Roman" w:hAnsi="Times New Roman" w:cs="Times New Roman"/>
          <w:b/>
          <w:bCs/>
        </w:rPr>
        <w:t>Güçlü Yönler</w:t>
      </w:r>
    </w:p>
    <w:p>
      <w:pPr>
        <w:spacing w:before="120" w:after="120" w:line="360" w:lineRule="auto"/>
        <w:jc w:val="both"/>
        <w:rPr>
          <w:rFonts w:ascii="Times New Roman" w:hAnsi="Times New Roman" w:cs="Times New Roman"/>
        </w:rPr>
      </w:pPr>
      <w:r>
        <w:rPr>
          <w:rFonts w:ascii="Times New Roman" w:hAnsi="Times New Roman" w:cs="Times New Roman"/>
        </w:rPr>
        <w:t>Yüksekokulun toplumsal katkı faaliyetlerinin Giresun Üniversitesi Toplumsal Katkı Politikası ile açık biçimde ilişkilendirilmiş olması, kurumsal strateji-politika bütünlüğünün sağlandığını göstermektedir.</w:t>
      </w:r>
    </w:p>
    <w:p>
      <w:pPr>
        <w:spacing w:before="120" w:after="120" w:line="360" w:lineRule="auto"/>
        <w:jc w:val="both"/>
        <w:rPr>
          <w:rFonts w:ascii="Times New Roman" w:hAnsi="Times New Roman" w:cs="Times New Roman"/>
        </w:rPr>
      </w:pPr>
      <w:r>
        <w:rPr>
          <w:rFonts w:ascii="Times New Roman" w:hAnsi="Times New Roman" w:cs="Times New Roman"/>
        </w:rPr>
        <w:t>Toplumsal katkıya yönelik hedeflerin net ve çok boyutlu (bölgesel ihtiyaçlar, öğrenci gelişimi, paydaş iş birlikleri, sürdürülebilirlik) şekilde belirlenmiş olması güçlü bir yön olarak değerlendirilmektedir.</w:t>
      </w:r>
    </w:p>
    <w:p>
      <w:pPr>
        <w:spacing w:before="120" w:after="120" w:line="360" w:lineRule="auto"/>
        <w:jc w:val="both"/>
        <w:rPr>
          <w:rFonts w:ascii="Times New Roman" w:hAnsi="Times New Roman" w:cs="Times New Roman"/>
        </w:rPr>
      </w:pPr>
      <w:r>
        <w:rPr>
          <w:rFonts w:ascii="Times New Roman" w:hAnsi="Times New Roman" w:cs="Times New Roman"/>
        </w:rPr>
        <w:t>Toplumsal katkı süreçlerinin Yüksekokul Müdürlüğü koordinasyonunda yürütülmesi ve komisyonlar ile öğrenci topluluklarının sürece aktif katılımı, yönetsel sahiplenme düzeyinin yüksek olduğunu göstermektedir.</w:t>
      </w:r>
    </w:p>
    <w:p>
      <w:pPr>
        <w:spacing w:before="120" w:after="120" w:line="360" w:lineRule="auto"/>
        <w:jc w:val="both"/>
        <w:rPr>
          <w:rFonts w:ascii="Times New Roman" w:hAnsi="Times New Roman" w:cs="Times New Roman"/>
        </w:rPr>
      </w:pPr>
      <w:r>
        <w:rPr>
          <w:rFonts w:ascii="Times New Roman" w:hAnsi="Times New Roman" w:cs="Times New Roman"/>
        </w:rPr>
        <w:t>Faaliyetlerin önemli bir bölümünün öğrencilerin aktif katılımıyla gerçekleştirilmesi, uygulama temelli eğitim anlayışı ve toplumsal sorumluluk bilincinin bütünleştiğini ortaya koymaktadır.</w:t>
      </w:r>
    </w:p>
    <w:p>
      <w:pPr>
        <w:spacing w:before="120" w:after="120" w:line="360" w:lineRule="auto"/>
        <w:jc w:val="both"/>
        <w:rPr>
          <w:rFonts w:ascii="Times New Roman" w:hAnsi="Times New Roman" w:cs="Times New Roman"/>
        </w:rPr>
      </w:pPr>
      <w:r>
        <w:rPr>
          <w:rFonts w:ascii="Times New Roman" w:hAnsi="Times New Roman" w:cs="Times New Roman"/>
        </w:rPr>
        <w:lastRenderedPageBreak/>
        <w:t xml:space="preserve">Türk </w:t>
      </w:r>
      <w:proofErr w:type="spellStart"/>
      <w:r>
        <w:rPr>
          <w:rFonts w:ascii="Times New Roman" w:hAnsi="Times New Roman" w:cs="Times New Roman"/>
        </w:rPr>
        <w:t>Kızılayı</w:t>
      </w:r>
      <w:proofErr w:type="spellEnd"/>
      <w:r>
        <w:rPr>
          <w:rFonts w:ascii="Times New Roman" w:hAnsi="Times New Roman" w:cs="Times New Roman"/>
        </w:rPr>
        <w:t>, İlçe Tarım ve Orman Müdürlüğü, İl Emniyet Müdürlüğü, Kaymakamlık, Belediye ve Vakıf gibi paydaşlarla yürütülen faaliyetler, yüksekokulun yerel ekosistemle güçlü etkileşim kurduğunu göstermektedir.</w:t>
      </w:r>
    </w:p>
    <w:p>
      <w:pPr>
        <w:spacing w:before="120" w:after="120" w:line="360" w:lineRule="auto"/>
        <w:jc w:val="both"/>
        <w:rPr>
          <w:rFonts w:ascii="Times New Roman" w:hAnsi="Times New Roman" w:cs="Times New Roman"/>
        </w:rPr>
      </w:pPr>
      <w:r>
        <w:rPr>
          <w:rFonts w:ascii="Times New Roman" w:hAnsi="Times New Roman" w:cs="Times New Roman"/>
        </w:rPr>
        <w:t>Tarım ve hayvancılık alanında gerçekleştirilen saha eğitimleri, yüksekokulun bölgesel ihtiyaçlara duyarlı ve uygulama odaklı toplumsal katkı yaklaşımını desteklemektedir.</w:t>
      </w:r>
    </w:p>
    <w:p>
      <w:pPr>
        <w:spacing w:before="120" w:after="120" w:line="360" w:lineRule="auto"/>
        <w:jc w:val="both"/>
        <w:rPr>
          <w:rFonts w:ascii="Times New Roman" w:hAnsi="Times New Roman" w:cs="Times New Roman"/>
        </w:rPr>
      </w:pPr>
      <w:r>
        <w:rPr>
          <w:rFonts w:ascii="Times New Roman" w:hAnsi="Times New Roman" w:cs="Times New Roman"/>
        </w:rPr>
        <w:t>Toplumsal katkı faaliyetlerinin kurumsal web sayfası üzerinden düzenli duyurulması ve kanıtlarla desteklenmesi, şeffaflık ve izlenebilirlik açısından olumlu değerlendirilmektedir.</w:t>
      </w:r>
    </w:p>
    <w:p>
      <w:pPr>
        <w:spacing w:before="120" w:after="120" w:line="360" w:lineRule="auto"/>
        <w:jc w:val="both"/>
        <w:rPr>
          <w:rFonts w:ascii="Times New Roman" w:hAnsi="Times New Roman" w:cs="Times New Roman"/>
        </w:rPr>
      </w:pPr>
      <w:r>
        <w:rPr>
          <w:rFonts w:ascii="Times New Roman" w:hAnsi="Times New Roman" w:cs="Times New Roman"/>
        </w:rPr>
        <w:t>Toplumsal katkının tek seferlik etkinlikler yerine süreklilik ve yaygın etki perspektifiyle ele alınması kurumsal olgunluk göstergesi olarak değerlendirilmektedir.</w:t>
      </w:r>
    </w:p>
    <w:p>
      <w:pPr>
        <w:spacing w:before="120" w:after="120" w:line="360" w:lineRule="auto"/>
        <w:rPr>
          <w:rFonts w:ascii="Times New Roman" w:hAnsi="Times New Roman" w:cs="Times New Roman"/>
          <w:b/>
          <w:bCs/>
        </w:rPr>
      </w:pPr>
      <w:r>
        <w:rPr>
          <w:rFonts w:ascii="Times New Roman" w:hAnsi="Times New Roman" w:cs="Times New Roman"/>
          <w:b/>
          <w:bCs/>
        </w:rPr>
        <w:t>Gelişmeye Açık Yönler</w:t>
      </w:r>
    </w:p>
    <w:p>
      <w:pPr>
        <w:spacing w:before="120" w:after="120" w:line="360" w:lineRule="auto"/>
        <w:jc w:val="both"/>
        <w:rPr>
          <w:rFonts w:ascii="Times New Roman" w:hAnsi="Times New Roman" w:cs="Times New Roman"/>
        </w:rPr>
      </w:pPr>
      <w:r>
        <w:rPr>
          <w:rFonts w:ascii="Times New Roman" w:hAnsi="Times New Roman" w:cs="Times New Roman"/>
        </w:rPr>
        <w:t>Toplumsal katkı faaliyetlerinin etki düzeyini ölçmeye yönelik nicel ve nitel performans göstergelerinin sistematik biçimde tanımlanmasına ihtiyaç bulunmaktadır.</w:t>
      </w:r>
    </w:p>
    <w:p>
      <w:pPr>
        <w:spacing w:before="120" w:after="120" w:line="360" w:lineRule="auto"/>
        <w:jc w:val="both"/>
        <w:rPr>
          <w:rFonts w:ascii="Times New Roman" w:hAnsi="Times New Roman" w:cs="Times New Roman"/>
        </w:rPr>
      </w:pPr>
      <w:r>
        <w:rPr>
          <w:rFonts w:ascii="Times New Roman" w:hAnsi="Times New Roman" w:cs="Times New Roman"/>
        </w:rPr>
        <w:t>Faaliyetlerin kısa ve uzun vadeli toplumsal etkilerinin yapılandırılmış yöntemlerle değerlendirilmesi (geri bildirim, anket, etki ölçümü vb.) geliştirilmesi gereken bir alandır.</w:t>
      </w:r>
    </w:p>
    <w:p>
      <w:pPr>
        <w:spacing w:before="120" w:after="120" w:line="360" w:lineRule="auto"/>
        <w:jc w:val="both"/>
        <w:rPr>
          <w:rFonts w:ascii="Times New Roman" w:hAnsi="Times New Roman" w:cs="Times New Roman"/>
        </w:rPr>
      </w:pPr>
      <w:r>
        <w:rPr>
          <w:rFonts w:ascii="Times New Roman" w:hAnsi="Times New Roman" w:cs="Times New Roman"/>
        </w:rPr>
        <w:t>Planlama, uygulama, izleme ve iyileştirme süreçlerinin daha görünür ve dokümante edilmiş şekilde sunulması, kalite güvencesi açısından faydalı olacaktır.</w:t>
      </w:r>
    </w:p>
    <w:p>
      <w:pPr>
        <w:spacing w:before="120" w:after="120" w:line="360" w:lineRule="auto"/>
        <w:jc w:val="both"/>
        <w:rPr>
          <w:rFonts w:ascii="Times New Roman" w:hAnsi="Times New Roman" w:cs="Times New Roman"/>
        </w:rPr>
      </w:pPr>
      <w:r>
        <w:rPr>
          <w:rFonts w:ascii="Times New Roman" w:hAnsi="Times New Roman" w:cs="Times New Roman"/>
        </w:rPr>
        <w:t>Katılımcı profili, hedef kitle, memnuniyet düzeyi ve toplumsal fayda göstergelerine ilişkin düzenli veri üretim mekanizmalarının geliştirilmesi önerilmektedir.</w:t>
      </w:r>
    </w:p>
    <w:p>
      <w:pPr>
        <w:spacing w:before="120" w:after="120" w:line="360" w:lineRule="auto"/>
        <w:jc w:val="both"/>
        <w:rPr>
          <w:rFonts w:ascii="Times New Roman" w:hAnsi="Times New Roman" w:cs="Times New Roman"/>
        </w:rPr>
      </w:pPr>
      <w:r>
        <w:rPr>
          <w:rFonts w:ascii="Times New Roman" w:hAnsi="Times New Roman" w:cs="Times New Roman"/>
        </w:rPr>
        <w:t>Toplumsal katkı faaliyetlerine yönelik bütçe ve kaynak planlamasının daha sistematik hale getirilmesi sürdürülebilirlik açısından önem arz etmektedir.</w:t>
      </w:r>
    </w:p>
    <w:p>
      <w:pPr>
        <w:spacing w:before="120" w:after="120" w:line="360" w:lineRule="auto"/>
        <w:jc w:val="both"/>
        <w:rPr>
          <w:rFonts w:ascii="Times New Roman" w:hAnsi="Times New Roman" w:cs="Times New Roman"/>
        </w:rPr>
      </w:pPr>
      <w:r>
        <w:rPr>
          <w:rFonts w:ascii="Times New Roman" w:hAnsi="Times New Roman" w:cs="Times New Roman"/>
        </w:rPr>
        <w:t>Gerçekleştirilen faaliyetlerin stratejik hedeflerle ilişkisinin ölçülebilir göstergelerle desteklenmesi, performans değerlendirmesini güçlendirecektir.</w:t>
      </w:r>
    </w:p>
    <w:p>
      <w:pPr>
        <w:spacing w:before="120" w:after="120" w:line="360" w:lineRule="auto"/>
        <w:jc w:val="both"/>
        <w:rPr>
          <w:rFonts w:ascii="Times New Roman" w:hAnsi="Times New Roman" w:cs="Times New Roman"/>
        </w:rPr>
      </w:pPr>
      <w:r>
        <w:rPr>
          <w:rFonts w:ascii="Times New Roman" w:hAnsi="Times New Roman" w:cs="Times New Roman"/>
        </w:rPr>
        <w:t>Dış paydaşlardan ve hedef kitlelerden alınan geri bildirimlerin sistematik biçimde değerlendirilmesi ve iyileştirme süreçlerine yansıtılması geliştirilmesi gereken bir boyuttur.</w:t>
      </w:r>
    </w:p>
    <w:p>
      <w:pPr>
        <w:pStyle w:val="Balk3"/>
        <w:tabs>
          <w:tab w:val="left" w:pos="673"/>
        </w:tabs>
        <w:spacing w:before="120" w:after="12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KANITLAYICI BELGELER DİZİNİ</w:t>
      </w:r>
    </w:p>
    <w:p>
      <w:pPr>
        <w:spacing w:before="120" w:after="120" w:line="360" w:lineRule="auto"/>
        <w:rPr>
          <w:rFonts w:ascii="Times New Roman" w:hAnsi="Times New Roman" w:cs="Times New Roman"/>
        </w:rPr>
      </w:pPr>
      <w:r>
        <w:rPr>
          <w:rFonts w:ascii="Times New Roman" w:hAnsi="Times New Roman" w:cs="Times New Roman"/>
          <w:b/>
          <w:bCs/>
        </w:rPr>
        <w:t>KANIT 1:</w:t>
      </w:r>
      <w:hyperlink r:id="rId50" w:history="1">
        <w:r>
          <w:rPr>
            <w:rStyle w:val="Kpr"/>
            <w:rFonts w:ascii="Times New Roman" w:hAnsi="Times New Roman" w:cs="Times New Roman"/>
          </w:rPr>
          <w:t>https://alucramyo.giresun.edu.tr/tr/announcement-detail/turk-kizilayinin-yanindayiz/11116</w:t>
        </w:r>
      </w:hyperlink>
    </w:p>
    <w:p>
      <w:pPr>
        <w:spacing w:before="120" w:after="120" w:line="360" w:lineRule="auto"/>
        <w:rPr>
          <w:rFonts w:ascii="Times New Roman" w:hAnsi="Times New Roman" w:cs="Times New Roman"/>
        </w:rPr>
      </w:pPr>
      <w:r>
        <w:rPr>
          <w:rFonts w:ascii="Times New Roman" w:hAnsi="Times New Roman" w:cs="Times New Roman"/>
          <w:b/>
          <w:bCs/>
        </w:rPr>
        <w:t>KANIT 2:</w:t>
      </w:r>
      <w:r>
        <w:rPr>
          <w:rFonts w:ascii="Times New Roman" w:hAnsi="Times New Roman" w:cs="Times New Roman"/>
        </w:rPr>
        <w:t xml:space="preserve"> </w:t>
      </w:r>
      <w:hyperlink r:id="rId51" w:history="1">
        <w:r>
          <w:rPr>
            <w:rStyle w:val="Kpr"/>
            <w:rFonts w:ascii="Times New Roman" w:hAnsi="Times New Roman" w:cs="Times New Roman"/>
          </w:rPr>
          <w:t>https://alucramyo.giresun.edu.tr/tr/announcement-detail/genclik-ve-guvenli-gelecek-bilgilendirme-programi-yapildi/11118</w:t>
        </w:r>
      </w:hyperlink>
      <w:r>
        <w:rPr>
          <w:rFonts w:ascii="Times New Roman" w:hAnsi="Times New Roman" w:cs="Times New Roman"/>
        </w:rPr>
        <w:t xml:space="preserve"> </w:t>
      </w:r>
    </w:p>
    <w:p>
      <w:pPr>
        <w:spacing w:before="120" w:after="120" w:line="360" w:lineRule="auto"/>
        <w:rPr>
          <w:rFonts w:ascii="Times New Roman" w:hAnsi="Times New Roman" w:cs="Times New Roman"/>
        </w:rPr>
      </w:pPr>
      <w:r>
        <w:rPr>
          <w:rFonts w:ascii="Times New Roman" w:hAnsi="Times New Roman" w:cs="Times New Roman"/>
          <w:b/>
          <w:bCs/>
        </w:rPr>
        <w:lastRenderedPageBreak/>
        <w:t xml:space="preserve">KANIT 3: </w:t>
      </w:r>
      <w:hyperlink r:id="rId52" w:history="1">
        <w:r>
          <w:rPr>
            <w:rStyle w:val="Kpr"/>
            <w:rFonts w:ascii="Times New Roman" w:hAnsi="Times New Roman" w:cs="Times New Roman"/>
          </w:rPr>
          <w:t>https://alucramyo.giresun.edu.tr/tr/announcement-detail/alucrada-filistine-destek-yuruyusu/11067</w:t>
        </w:r>
      </w:hyperlink>
    </w:p>
    <w:p>
      <w:pPr>
        <w:spacing w:before="120" w:after="120" w:line="360" w:lineRule="auto"/>
        <w:rPr>
          <w:rFonts w:ascii="Times New Roman" w:hAnsi="Times New Roman" w:cs="Times New Roman"/>
        </w:rPr>
      </w:pPr>
      <w:r>
        <w:rPr>
          <w:rFonts w:ascii="Times New Roman" w:hAnsi="Times New Roman" w:cs="Times New Roman"/>
          <w:b/>
          <w:bCs/>
        </w:rPr>
        <w:t xml:space="preserve">KANIT 4: </w:t>
      </w:r>
      <w:hyperlink r:id="rId53" w:history="1">
        <w:r>
          <w:rPr>
            <w:rStyle w:val="Kpr"/>
            <w:rFonts w:ascii="Times New Roman" w:hAnsi="Times New Roman" w:cs="Times New Roman"/>
          </w:rPr>
          <w:t>https://alucramyo.giresun.edu.tr/tr/announcement-detail/ogreciler-sarikamis-harek%C3%A2ti-anisina-yurudu/11511</w:t>
        </w:r>
      </w:hyperlink>
      <w:r>
        <w:rPr>
          <w:rFonts w:ascii="Times New Roman" w:hAnsi="Times New Roman" w:cs="Times New Roman"/>
        </w:rPr>
        <w:t xml:space="preserve"> </w:t>
      </w:r>
    </w:p>
    <w:p>
      <w:pPr>
        <w:spacing w:before="120" w:after="120" w:line="360" w:lineRule="auto"/>
        <w:rPr>
          <w:rFonts w:ascii="Times New Roman" w:hAnsi="Times New Roman" w:cs="Times New Roman"/>
        </w:rPr>
      </w:pPr>
      <w:r>
        <w:rPr>
          <w:rFonts w:ascii="Times New Roman" w:hAnsi="Times New Roman" w:cs="Times New Roman"/>
          <w:b/>
          <w:bCs/>
        </w:rPr>
        <w:t xml:space="preserve">KANIT 5: </w:t>
      </w:r>
      <w:hyperlink r:id="rId54" w:history="1">
        <w:r>
          <w:rPr>
            <w:rStyle w:val="Kpr"/>
            <w:rFonts w:ascii="Times New Roman" w:hAnsi="Times New Roman" w:cs="Times New Roman"/>
          </w:rPr>
          <w:t>https://alucramyo.giresun.edu.tr/tr/announcement-detail/ogrenci-topluluklari-tanitimi-etkinligi-yapildi/11265</w:t>
        </w:r>
      </w:hyperlink>
    </w:p>
    <w:p>
      <w:pPr>
        <w:spacing w:before="120" w:after="120" w:line="360" w:lineRule="auto"/>
        <w:rPr>
          <w:rFonts w:ascii="Times New Roman" w:hAnsi="Times New Roman" w:cs="Times New Roman"/>
          <w:b/>
          <w:bCs/>
        </w:rPr>
      </w:pPr>
      <w:r>
        <w:rPr>
          <w:rFonts w:ascii="Times New Roman" w:hAnsi="Times New Roman" w:cs="Times New Roman"/>
          <w:b/>
          <w:bCs/>
        </w:rPr>
        <w:t xml:space="preserve">KANIT 6: </w:t>
      </w:r>
      <w:hyperlink r:id="rId55" w:history="1">
        <w:r>
          <w:rPr>
            <w:rStyle w:val="Kpr"/>
            <w:rFonts w:ascii="Times New Roman" w:hAnsi="Times New Roman" w:cs="Times New Roman"/>
          </w:rPr>
          <w:t>https://alucramyo.giresun.edu.tr/tr/announcement-detail/aktepe-koyunde-ciftcilere-yonelik-bilgilendirme-toplantisi-duzenlendi/11429</w:t>
        </w:r>
      </w:hyperlink>
      <w:r>
        <w:rPr>
          <w:rFonts w:ascii="Times New Roman" w:hAnsi="Times New Roman" w:cs="Times New Roman"/>
        </w:rPr>
        <w:t xml:space="preserve"> </w:t>
      </w:r>
    </w:p>
    <w:p>
      <w:pPr>
        <w:spacing w:before="120" w:after="120" w:line="360" w:lineRule="auto"/>
        <w:rPr>
          <w:rFonts w:ascii="Times New Roman" w:hAnsi="Times New Roman" w:cs="Times New Roman"/>
        </w:rPr>
      </w:pPr>
      <w:r>
        <w:rPr>
          <w:rFonts w:ascii="Times New Roman" w:hAnsi="Times New Roman" w:cs="Times New Roman"/>
          <w:b/>
          <w:bCs/>
        </w:rPr>
        <w:t xml:space="preserve">KANIT 7: </w:t>
      </w:r>
      <w:hyperlink r:id="rId56" w:history="1">
        <w:r>
          <w:rPr>
            <w:rStyle w:val="Kpr"/>
            <w:rFonts w:ascii="Times New Roman" w:hAnsi="Times New Roman" w:cs="Times New Roman"/>
          </w:rPr>
          <w:t>https://alucramyo.giresun.edu.tr/tr/announcement-detail/yesilyurt-koyu-ureticileri-hayvancilik-ve-tarimsal-uretim-hakkinda-bilgilendirildi/11521</w:t>
        </w:r>
      </w:hyperlink>
      <w:r>
        <w:rPr>
          <w:rFonts w:ascii="Times New Roman" w:hAnsi="Times New Roman" w:cs="Times New Roman"/>
        </w:rPr>
        <w:t xml:space="preserve"> </w:t>
      </w:r>
    </w:p>
    <w:p>
      <w:pPr>
        <w:spacing w:before="120" w:after="120" w:line="360" w:lineRule="auto"/>
        <w:rPr>
          <w:rFonts w:ascii="Times New Roman" w:hAnsi="Times New Roman" w:cs="Times New Roman"/>
          <w:b/>
          <w:bCs/>
        </w:rPr>
      </w:pPr>
      <w:r>
        <w:rPr>
          <w:rFonts w:ascii="Times New Roman" w:hAnsi="Times New Roman" w:cs="Times New Roman"/>
          <w:b/>
          <w:bCs/>
        </w:rPr>
        <w:t xml:space="preserve">KANIT 8: </w:t>
      </w:r>
      <w:hyperlink r:id="rId57" w:history="1">
        <w:r>
          <w:rPr>
            <w:rStyle w:val="Kpr"/>
            <w:rFonts w:ascii="Times New Roman" w:hAnsi="Times New Roman" w:cs="Times New Roman"/>
          </w:rPr>
          <w:t>https://alucramyo.giresun.edu.tr/tr/announcement-detail/doludere-koyunde-ciftcilere-bilgilendirme-toplantisi-yapildi/11546</w:t>
        </w:r>
      </w:hyperlink>
      <w:r>
        <w:rPr>
          <w:rFonts w:ascii="Times New Roman" w:hAnsi="Times New Roman" w:cs="Times New Roman"/>
        </w:rPr>
        <w:t xml:space="preserve"> </w:t>
      </w:r>
    </w:p>
    <w:p>
      <w:pPr>
        <w:spacing w:before="120" w:after="120" w:line="360" w:lineRule="auto"/>
        <w:rPr>
          <w:rFonts w:ascii="Times New Roman" w:hAnsi="Times New Roman" w:cs="Times New Roman"/>
          <w:b/>
          <w:bCs/>
        </w:rPr>
      </w:pPr>
      <w:r>
        <w:rPr>
          <w:rFonts w:ascii="Times New Roman" w:hAnsi="Times New Roman" w:cs="Times New Roman"/>
          <w:b/>
          <w:bCs/>
        </w:rPr>
        <w:t xml:space="preserve">KANIT 9: </w:t>
      </w:r>
      <w:hyperlink r:id="rId58" w:history="1">
        <w:r>
          <w:rPr>
            <w:rStyle w:val="Kpr"/>
            <w:rFonts w:ascii="Times New Roman" w:hAnsi="Times New Roman" w:cs="Times New Roman"/>
          </w:rPr>
          <w:t>https://alucramyo.giresun.edu.tr/tr/announcement-detail/yuksekokul-nezaket-ziyaretlerine-devam-ediyor/11195</w:t>
        </w:r>
      </w:hyperlink>
      <w:r>
        <w:rPr>
          <w:rFonts w:ascii="Times New Roman" w:hAnsi="Times New Roman" w:cs="Times New Roman"/>
        </w:rPr>
        <w:t xml:space="preserve"> </w:t>
      </w:r>
    </w:p>
    <w:p>
      <w:pPr>
        <w:spacing w:before="120" w:after="120" w:line="360" w:lineRule="auto"/>
        <w:rPr>
          <w:rFonts w:ascii="Times New Roman" w:hAnsi="Times New Roman" w:cs="Times New Roman"/>
          <w:b/>
          <w:bCs/>
        </w:rPr>
      </w:pPr>
      <w:r>
        <w:rPr>
          <w:rFonts w:ascii="Times New Roman" w:hAnsi="Times New Roman" w:cs="Times New Roman"/>
          <w:b/>
          <w:bCs/>
        </w:rPr>
        <w:t xml:space="preserve">KANIT 10: </w:t>
      </w:r>
      <w:hyperlink r:id="rId59" w:history="1">
        <w:r>
          <w:rPr>
            <w:rStyle w:val="Kpr"/>
            <w:rFonts w:ascii="Times New Roman" w:hAnsi="Times New Roman" w:cs="Times New Roman"/>
          </w:rPr>
          <w:t>https://alucramyo.giresun.edu.tr/tr/announcement-detail/fidanlar-toprakla-bulustu/11194</w:t>
        </w:r>
      </w:hyperlink>
      <w:r>
        <w:rPr>
          <w:rFonts w:ascii="Times New Roman" w:hAnsi="Times New Roman" w:cs="Times New Roman"/>
        </w:rPr>
        <w:t xml:space="preserve"> </w:t>
      </w:r>
    </w:p>
    <w:p>
      <w:pPr>
        <w:spacing w:before="120" w:after="120" w:line="360" w:lineRule="auto"/>
        <w:rPr>
          <w:rFonts w:ascii="Times New Roman" w:hAnsi="Times New Roman" w:cs="Times New Roman"/>
          <w:b/>
          <w:bCs/>
        </w:rPr>
      </w:pPr>
      <w:r>
        <w:rPr>
          <w:rFonts w:ascii="Times New Roman" w:hAnsi="Times New Roman" w:cs="Times New Roman"/>
          <w:b/>
          <w:bCs/>
        </w:rPr>
        <w:t xml:space="preserve">KANIT 11: </w:t>
      </w:r>
      <w:hyperlink r:id="rId60" w:history="1">
        <w:r>
          <w:rPr>
            <w:rStyle w:val="Kpr"/>
            <w:rFonts w:ascii="Times New Roman" w:hAnsi="Times New Roman" w:cs="Times New Roman"/>
          </w:rPr>
          <w:t>https://alucramyo.giresun.edu.tr/tr/announcement-detail/alucra-kalkinma-ve-egitim-vakfi-egitime-destek-veremeye-devam-edecek/11048</w:t>
        </w:r>
      </w:hyperlink>
      <w:r>
        <w:rPr>
          <w:rFonts w:ascii="Times New Roman" w:hAnsi="Times New Roman" w:cs="Times New Roman"/>
        </w:rPr>
        <w:t xml:space="preserve"> </w:t>
      </w:r>
    </w:p>
    <w:p>
      <w:pPr>
        <w:spacing w:before="120" w:after="120" w:line="360" w:lineRule="auto"/>
        <w:rPr>
          <w:rFonts w:ascii="Times New Roman" w:hAnsi="Times New Roman" w:cs="Times New Roman"/>
        </w:rPr>
      </w:pPr>
      <w:bookmarkStart w:id="6" w:name="YÜKSOKULKURULKANIT12"/>
      <w:r>
        <w:rPr>
          <w:rFonts w:ascii="Times New Roman" w:hAnsi="Times New Roman" w:cs="Times New Roman"/>
          <w:b/>
          <w:bCs/>
        </w:rPr>
        <w:t xml:space="preserve">KANIT 12: </w:t>
      </w:r>
      <w:r>
        <w:rPr>
          <w:rFonts w:ascii="Times New Roman" w:hAnsi="Times New Roman" w:cs="Times New Roman"/>
        </w:rPr>
        <w:t>10.03.2025 tarihli ve 2025/03 sayılı Yüksekokul Kurul Kararı</w:t>
      </w:r>
    </w:p>
    <w:p>
      <w:pPr>
        <w:spacing w:before="120" w:after="120" w:line="360" w:lineRule="auto"/>
        <w:rPr>
          <w:rFonts w:ascii="Times New Roman" w:hAnsi="Times New Roman" w:cs="Times New Roman"/>
        </w:rPr>
      </w:pPr>
      <w:bookmarkStart w:id="7" w:name="KANIT13"/>
      <w:r>
        <w:rPr>
          <w:rFonts w:ascii="Times New Roman" w:hAnsi="Times New Roman" w:cs="Times New Roman"/>
          <w:b/>
          <w:bCs/>
        </w:rPr>
        <w:t xml:space="preserve">KANIT 13: </w:t>
      </w:r>
      <w:r>
        <w:rPr>
          <w:rFonts w:ascii="Times New Roman" w:hAnsi="Times New Roman" w:cs="Times New Roman"/>
        </w:rPr>
        <w:t>07.02.2025 tarihli ve 2025/04 sayılı Yönetim Kurulu Kararı</w:t>
      </w:r>
    </w:p>
    <w:p>
      <w:pPr>
        <w:spacing w:before="120" w:after="120" w:line="360" w:lineRule="auto"/>
        <w:rPr>
          <w:rFonts w:ascii="Times New Roman" w:hAnsi="Times New Roman" w:cs="Times New Roman"/>
        </w:rPr>
      </w:pPr>
      <w:bookmarkStart w:id="8" w:name="KANIT14"/>
      <w:r>
        <w:rPr>
          <w:rFonts w:ascii="Times New Roman" w:hAnsi="Times New Roman" w:cs="Times New Roman"/>
          <w:b/>
          <w:bCs/>
        </w:rPr>
        <w:t xml:space="preserve">KANIT 14: </w:t>
      </w:r>
      <w:r>
        <w:rPr>
          <w:rFonts w:ascii="Times New Roman" w:hAnsi="Times New Roman" w:cs="Times New Roman"/>
        </w:rPr>
        <w:t>AKTS Koordinatörlüğünün 09.01.2026 tarihli ve E-22573351-000-146317 sayılı yazısı</w:t>
      </w:r>
    </w:p>
    <w:p>
      <w:pPr>
        <w:spacing w:before="120" w:after="120" w:line="360" w:lineRule="auto"/>
        <w:rPr>
          <w:rFonts w:ascii="Times New Roman" w:hAnsi="Times New Roman" w:cs="Times New Roman"/>
        </w:rPr>
      </w:pPr>
      <w:bookmarkStart w:id="9" w:name="KANIT15"/>
      <w:r>
        <w:rPr>
          <w:rFonts w:ascii="Times New Roman" w:hAnsi="Times New Roman" w:cs="Times New Roman"/>
          <w:b/>
          <w:bCs/>
        </w:rPr>
        <w:t xml:space="preserve">KANIT 15: </w:t>
      </w:r>
      <w:r>
        <w:rPr>
          <w:rFonts w:ascii="Times New Roman" w:hAnsi="Times New Roman" w:cs="Times New Roman"/>
        </w:rPr>
        <w:t>11.02.2025 tarihli ve 2025/01 sayılı Yüksekokul Kurul Kararı</w:t>
      </w:r>
      <w:bookmarkEnd w:id="9"/>
    </w:p>
    <w:p>
      <w:pPr>
        <w:spacing w:before="120" w:after="120" w:line="360" w:lineRule="auto"/>
        <w:rPr>
          <w:rFonts w:ascii="Times New Roman" w:hAnsi="Times New Roman" w:cs="Times New Roman"/>
        </w:rPr>
      </w:pPr>
      <w:bookmarkStart w:id="10" w:name="KANIT16"/>
      <w:r>
        <w:rPr>
          <w:rFonts w:ascii="Times New Roman" w:hAnsi="Times New Roman" w:cs="Times New Roman"/>
          <w:b/>
          <w:bCs/>
        </w:rPr>
        <w:t xml:space="preserve">KANIT 16: </w:t>
      </w:r>
      <w:r>
        <w:rPr>
          <w:rFonts w:ascii="Times New Roman" w:hAnsi="Times New Roman" w:cs="Times New Roman"/>
        </w:rPr>
        <w:t>14.02.2025 tarihli ve 2025/05 sayılı Yönetim Kurulu Kararı</w:t>
      </w:r>
      <w:bookmarkEnd w:id="10"/>
    </w:p>
    <w:p>
      <w:pPr>
        <w:spacing w:before="120" w:after="120" w:line="360" w:lineRule="auto"/>
        <w:rPr>
          <w:rFonts w:ascii="Times New Roman" w:hAnsi="Times New Roman" w:cs="Times New Roman"/>
        </w:rPr>
      </w:pPr>
      <w:bookmarkStart w:id="11" w:name="KANIT17"/>
      <w:r>
        <w:rPr>
          <w:rFonts w:ascii="Times New Roman" w:hAnsi="Times New Roman" w:cs="Times New Roman"/>
          <w:b/>
          <w:bCs/>
        </w:rPr>
        <w:t xml:space="preserve">KANIT 17: </w:t>
      </w:r>
      <w:r>
        <w:rPr>
          <w:rFonts w:ascii="Times New Roman" w:hAnsi="Times New Roman" w:cs="Times New Roman"/>
        </w:rPr>
        <w:t>Staj Koordinatörlüğü’nün 22.05.2025 tarihli ve E-61867716-000-89334 sayılı yazısı.</w:t>
      </w:r>
    </w:p>
    <w:p>
      <w:pPr>
        <w:spacing w:before="120" w:after="120" w:line="360" w:lineRule="auto"/>
        <w:rPr>
          <w:rFonts w:ascii="Times New Roman" w:hAnsi="Times New Roman" w:cs="Times New Roman"/>
          <w:b/>
          <w:bCs/>
        </w:rPr>
      </w:pPr>
      <w:bookmarkStart w:id="12" w:name="KANIT18"/>
      <w:r>
        <w:rPr>
          <w:rFonts w:ascii="Times New Roman" w:hAnsi="Times New Roman" w:cs="Times New Roman"/>
          <w:b/>
          <w:bCs/>
        </w:rPr>
        <w:lastRenderedPageBreak/>
        <w:t>KANIT 18:</w:t>
      </w:r>
      <w:bookmarkEnd w:id="12"/>
      <w:r>
        <w:rPr>
          <w:rFonts w:ascii="Times New Roman" w:hAnsi="Times New Roman" w:cs="Times New Roman"/>
          <w:b/>
          <w:bCs/>
        </w:rPr>
        <w:t xml:space="preserve"> </w:t>
      </w:r>
      <w:r>
        <w:rPr>
          <w:rFonts w:ascii="Times New Roman" w:hAnsi="Times New Roman" w:cs="Times New Roman"/>
          <w:b/>
          <w:bCs/>
          <w:noProof/>
          <w:lang w:eastAsia="tr-TR"/>
        </w:rPr>
        <w:drawing>
          <wp:inline distT="0" distB="0" distL="0" distR="0">
            <wp:extent cx="5760720" cy="3288030"/>
            <wp:effectExtent l="0" t="0" r="0" b="7620"/>
            <wp:docPr id="2071399982" name="Resim 1" descr="metin, ekran görüntüsü, web sitesi,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99982" name="Resim 1" descr="metin, ekran görüntüsü, web sitesi, web sayfası içeren bir resim&#10;&#10;Yapay zeka tarafından oluşturulmuş içerik yanlış olabilir."/>
                    <pic:cNvPicPr/>
                  </pic:nvPicPr>
                  <pic:blipFill>
                    <a:blip r:embed="rId61" cstate="print"/>
                    <a:stretch>
                      <a:fillRect/>
                    </a:stretch>
                  </pic:blipFill>
                  <pic:spPr>
                    <a:xfrm>
                      <a:off x="0" y="0"/>
                      <a:ext cx="5760720" cy="3288030"/>
                    </a:xfrm>
                    <a:prstGeom prst="rect">
                      <a:avLst/>
                    </a:prstGeom>
                  </pic:spPr>
                </pic:pic>
              </a:graphicData>
            </a:graphic>
          </wp:inline>
        </w:drawing>
      </w:r>
    </w:p>
    <w:p>
      <w:pPr>
        <w:spacing w:before="120" w:after="120" w:line="360" w:lineRule="auto"/>
        <w:jc w:val="both"/>
        <w:rPr>
          <w:rFonts w:ascii="Times New Roman" w:hAnsi="Times New Roman" w:cs="Times New Roman"/>
        </w:rPr>
      </w:pPr>
      <w:bookmarkStart w:id="13" w:name="KANIT19"/>
      <w:bookmarkEnd w:id="6"/>
      <w:bookmarkEnd w:id="7"/>
      <w:bookmarkEnd w:id="8"/>
      <w:bookmarkEnd w:id="11"/>
      <w:r>
        <w:rPr>
          <w:rFonts w:ascii="Times New Roman" w:hAnsi="Times New Roman" w:cs="Times New Roman"/>
          <w:b/>
          <w:bCs/>
        </w:rPr>
        <w:t xml:space="preserve">KANIT 19: </w:t>
      </w:r>
      <w:r>
        <w:rPr>
          <w:rFonts w:ascii="Times New Roman" w:hAnsi="Times New Roman" w:cs="Times New Roman"/>
        </w:rPr>
        <w:t>Birim Kalite Komisyonu’nun 16.05.2025 tarihli ve 2025/04 sayılı toplantı tutanağı</w:t>
      </w:r>
      <w:bookmarkEnd w:id="13"/>
    </w:p>
    <w:p>
      <w:pPr>
        <w:spacing w:before="120" w:after="120" w:line="360" w:lineRule="auto"/>
        <w:jc w:val="both"/>
        <w:rPr>
          <w:rFonts w:ascii="Times New Roman" w:hAnsi="Times New Roman" w:cs="Times New Roman"/>
        </w:rPr>
      </w:pPr>
      <w:bookmarkStart w:id="14" w:name="KANIT20"/>
      <w:r>
        <w:rPr>
          <w:rFonts w:ascii="Times New Roman" w:hAnsi="Times New Roman" w:cs="Times New Roman"/>
          <w:b/>
          <w:bCs/>
        </w:rPr>
        <w:t xml:space="preserve">KANIT 20: </w:t>
      </w:r>
      <w:r>
        <w:rPr>
          <w:rFonts w:ascii="Times New Roman" w:hAnsi="Times New Roman" w:cs="Times New Roman"/>
        </w:rPr>
        <w:t>10.03.2025 tarihli ve 2025/03 sayılı Yüksekokul Kurul Kararı</w:t>
      </w:r>
      <w:bookmarkEnd w:id="14"/>
    </w:p>
    <w:p>
      <w:pPr>
        <w:spacing w:before="120" w:after="120" w:line="360" w:lineRule="auto"/>
        <w:jc w:val="both"/>
        <w:rPr>
          <w:rFonts w:ascii="Times New Roman" w:hAnsi="Times New Roman" w:cs="Times New Roman"/>
        </w:rPr>
      </w:pPr>
      <w:bookmarkStart w:id="15" w:name="KANIT21"/>
      <w:r>
        <w:rPr>
          <w:rFonts w:ascii="Times New Roman" w:hAnsi="Times New Roman" w:cs="Times New Roman"/>
          <w:b/>
          <w:bCs/>
        </w:rPr>
        <w:t xml:space="preserve">KANIT 21: </w:t>
      </w:r>
      <w:r>
        <w:rPr>
          <w:rFonts w:ascii="Times New Roman" w:hAnsi="Times New Roman" w:cs="Times New Roman"/>
        </w:rPr>
        <w:t>14.10.2025 tarihli ve 2025/16 sayılı Yönetim Kurulu Kararı</w:t>
      </w:r>
      <w:bookmarkEnd w:id="15"/>
    </w:p>
    <w:p>
      <w:pPr>
        <w:spacing w:before="120" w:after="120" w:line="360" w:lineRule="auto"/>
        <w:jc w:val="both"/>
        <w:rPr>
          <w:rFonts w:ascii="Times New Roman" w:hAnsi="Times New Roman" w:cs="Times New Roman"/>
        </w:rPr>
      </w:pPr>
      <w:bookmarkStart w:id="16" w:name="KANIT22"/>
      <w:r>
        <w:rPr>
          <w:rFonts w:ascii="Times New Roman" w:hAnsi="Times New Roman" w:cs="Times New Roman"/>
          <w:b/>
          <w:bCs/>
        </w:rPr>
        <w:t xml:space="preserve">KANIT 22: </w:t>
      </w:r>
      <w:r>
        <w:rPr>
          <w:rFonts w:ascii="Times New Roman" w:hAnsi="Times New Roman" w:cs="Times New Roman"/>
        </w:rPr>
        <w:t>Mezun Öğrencilerle İletişim Komisyonu’nun 08.01.2026 tarih ve E-70477964-000-145893 sayılı yazısı</w:t>
      </w:r>
      <w:bookmarkEnd w:id="16"/>
    </w:p>
    <w:p>
      <w:pPr>
        <w:spacing w:before="120" w:after="120" w:line="360" w:lineRule="auto"/>
        <w:jc w:val="both"/>
        <w:rPr>
          <w:rFonts w:ascii="Times New Roman" w:hAnsi="Times New Roman" w:cs="Times New Roman"/>
        </w:rPr>
      </w:pPr>
      <w:bookmarkStart w:id="17" w:name="KANIT23"/>
      <w:r>
        <w:rPr>
          <w:rFonts w:ascii="Times New Roman" w:hAnsi="Times New Roman" w:cs="Times New Roman"/>
          <w:b/>
          <w:bCs/>
        </w:rPr>
        <w:t xml:space="preserve">KANIT 23: </w:t>
      </w:r>
      <w:r>
        <w:rPr>
          <w:rFonts w:ascii="Times New Roman" w:hAnsi="Times New Roman" w:cs="Times New Roman"/>
        </w:rPr>
        <w:t>26.11.2025 tarihli ve 2025/19 sayılı Yönetim Kurulu Kararı</w:t>
      </w:r>
      <w:bookmarkEnd w:id="17"/>
    </w:p>
    <w:p>
      <w:pPr>
        <w:spacing w:before="120" w:after="120" w:line="360" w:lineRule="auto"/>
        <w:jc w:val="both"/>
        <w:rPr>
          <w:rFonts w:ascii="Times New Roman" w:hAnsi="Times New Roman" w:cs="Times New Roman"/>
        </w:rPr>
      </w:pPr>
      <w:bookmarkStart w:id="18" w:name="KANIT24"/>
      <w:r>
        <w:rPr>
          <w:rFonts w:ascii="Times New Roman" w:hAnsi="Times New Roman" w:cs="Times New Roman"/>
          <w:b/>
          <w:bCs/>
        </w:rPr>
        <w:t xml:space="preserve">KANIT 24: </w:t>
      </w:r>
      <w:r>
        <w:rPr>
          <w:rFonts w:ascii="Times New Roman" w:hAnsi="Times New Roman" w:cs="Times New Roman"/>
        </w:rPr>
        <w:t>12.09.2025 tarihli ve 2025/14 sayılı Yönetim Kurulu Kararı</w:t>
      </w:r>
      <w:bookmarkEnd w:id="18"/>
    </w:p>
    <w:p>
      <w:pPr>
        <w:spacing w:before="120" w:after="120" w:line="360" w:lineRule="auto"/>
        <w:jc w:val="both"/>
        <w:rPr>
          <w:rFonts w:ascii="Times New Roman" w:hAnsi="Times New Roman" w:cs="Times New Roman"/>
        </w:rPr>
      </w:pPr>
      <w:bookmarkStart w:id="19" w:name="KANIT25"/>
      <w:r>
        <w:rPr>
          <w:rFonts w:ascii="Times New Roman" w:hAnsi="Times New Roman" w:cs="Times New Roman"/>
          <w:b/>
          <w:bCs/>
        </w:rPr>
        <w:t xml:space="preserve">KANIT 25: </w:t>
      </w:r>
      <w:r>
        <w:rPr>
          <w:rFonts w:ascii="Times New Roman" w:hAnsi="Times New Roman" w:cs="Times New Roman"/>
        </w:rPr>
        <w:t>01.10.2025 tarihli ve 2025/15 sayılı Yönetim Kurulu Kararı</w:t>
      </w:r>
      <w:bookmarkEnd w:id="19"/>
    </w:p>
    <w:p>
      <w:pPr>
        <w:spacing w:before="120" w:after="120" w:line="360" w:lineRule="auto"/>
        <w:jc w:val="both"/>
        <w:rPr>
          <w:rFonts w:ascii="Times New Roman" w:hAnsi="Times New Roman" w:cs="Times New Roman"/>
        </w:rPr>
      </w:pPr>
      <w:bookmarkStart w:id="20" w:name="KANIT26"/>
      <w:r>
        <w:rPr>
          <w:rFonts w:ascii="Times New Roman" w:hAnsi="Times New Roman" w:cs="Times New Roman"/>
          <w:b/>
          <w:bCs/>
        </w:rPr>
        <w:t xml:space="preserve">KANIT 26: </w:t>
      </w:r>
      <w:r>
        <w:rPr>
          <w:rFonts w:ascii="Times New Roman" w:hAnsi="Times New Roman" w:cs="Times New Roman"/>
        </w:rPr>
        <w:t>Etkinlik Komisyonu’nun 10.01.2026 tarihli ve 61553134-100-146162 sayılı yazısı.</w:t>
      </w:r>
      <w:bookmarkEnd w:id="20"/>
    </w:p>
    <w:p>
      <w:pPr>
        <w:spacing w:before="120" w:after="120" w:line="360" w:lineRule="auto"/>
        <w:jc w:val="both"/>
        <w:rPr>
          <w:rFonts w:ascii="Times New Roman" w:hAnsi="Times New Roman" w:cs="Times New Roman"/>
        </w:rPr>
      </w:pPr>
      <w:bookmarkStart w:id="21" w:name="KANIT27"/>
      <w:r>
        <w:rPr>
          <w:rFonts w:ascii="Times New Roman" w:hAnsi="Times New Roman" w:cs="Times New Roman"/>
          <w:b/>
          <w:bCs/>
        </w:rPr>
        <w:t xml:space="preserve">KANIT 27: </w:t>
      </w:r>
      <w:r>
        <w:rPr>
          <w:rFonts w:ascii="Times New Roman" w:hAnsi="Times New Roman" w:cs="Times New Roman"/>
        </w:rPr>
        <w:t>07.02.2025 tarihli ve 2025/04 sayılı Yönetim Kurulu Kararı</w:t>
      </w:r>
      <w:bookmarkEnd w:id="21"/>
    </w:p>
    <w:p>
      <w:pPr>
        <w:spacing w:before="120" w:after="120" w:line="360" w:lineRule="auto"/>
        <w:jc w:val="both"/>
        <w:rPr>
          <w:rFonts w:ascii="Times New Roman" w:hAnsi="Times New Roman" w:cs="Times New Roman"/>
        </w:rPr>
      </w:pPr>
      <w:bookmarkStart w:id="22" w:name="KANIT28"/>
      <w:r>
        <w:rPr>
          <w:rFonts w:ascii="Times New Roman" w:hAnsi="Times New Roman" w:cs="Times New Roman"/>
          <w:b/>
          <w:bCs/>
        </w:rPr>
        <w:t xml:space="preserve">KANIT 28: </w:t>
      </w:r>
      <w:r>
        <w:rPr>
          <w:rFonts w:ascii="Times New Roman" w:hAnsi="Times New Roman" w:cs="Times New Roman"/>
        </w:rPr>
        <w:t>12.03.2025 tarihli ve 2025/08 sayılı Yönetim Kurulu Kararı</w:t>
      </w:r>
      <w:bookmarkEnd w:id="22"/>
    </w:p>
    <w:p>
      <w:pPr>
        <w:spacing w:before="120" w:after="120" w:line="360" w:lineRule="auto"/>
        <w:jc w:val="both"/>
        <w:rPr>
          <w:rFonts w:ascii="Times New Roman" w:hAnsi="Times New Roman" w:cs="Times New Roman"/>
        </w:rPr>
      </w:pPr>
      <w:bookmarkStart w:id="23" w:name="KANIT29"/>
      <w:r>
        <w:rPr>
          <w:rFonts w:ascii="Times New Roman" w:hAnsi="Times New Roman" w:cs="Times New Roman"/>
          <w:b/>
          <w:bCs/>
        </w:rPr>
        <w:t xml:space="preserve">KANIT 29: </w:t>
      </w:r>
      <w:r>
        <w:rPr>
          <w:rFonts w:ascii="Times New Roman" w:hAnsi="Times New Roman" w:cs="Times New Roman"/>
        </w:rPr>
        <w:t>Erasmus Koordinatörlüğü ve Bologna Kurulu Başkanlıklarının 21.05.2025 tarih ve E-61553134-100-88830 sayılı yazısı.</w:t>
      </w:r>
      <w:bookmarkEnd w:id="23"/>
    </w:p>
    <w:p>
      <w:pPr>
        <w:spacing w:before="120" w:after="120" w:line="360" w:lineRule="auto"/>
        <w:jc w:val="both"/>
        <w:rPr>
          <w:rFonts w:ascii="Times New Roman" w:hAnsi="Times New Roman" w:cs="Times New Roman"/>
        </w:rPr>
      </w:pPr>
      <w:bookmarkStart w:id="24" w:name="KANIT30"/>
      <w:r>
        <w:rPr>
          <w:rFonts w:ascii="Times New Roman" w:hAnsi="Times New Roman" w:cs="Times New Roman"/>
          <w:b/>
          <w:bCs/>
        </w:rPr>
        <w:lastRenderedPageBreak/>
        <w:t xml:space="preserve">KANIT 30: </w:t>
      </w:r>
      <w:r>
        <w:rPr>
          <w:rFonts w:ascii="Times New Roman" w:hAnsi="Times New Roman" w:cs="Times New Roman"/>
        </w:rPr>
        <w:t>Uyum ve Oryantasyon Komisyonu’nun 09.01.2026 tarih ve E-83883360-000-146314 sayılı yazısı.</w:t>
      </w:r>
      <w:bookmarkEnd w:id="24"/>
    </w:p>
    <w:p>
      <w:pPr>
        <w:spacing w:before="120" w:after="120" w:line="360" w:lineRule="auto"/>
        <w:jc w:val="both"/>
        <w:rPr>
          <w:rFonts w:ascii="Times New Roman" w:hAnsi="Times New Roman" w:cs="Times New Roman"/>
        </w:rPr>
      </w:pPr>
      <w:bookmarkStart w:id="25" w:name="KANIT31"/>
      <w:r>
        <w:rPr>
          <w:rFonts w:ascii="Times New Roman" w:hAnsi="Times New Roman" w:cs="Times New Roman"/>
          <w:b/>
          <w:bCs/>
        </w:rPr>
        <w:t xml:space="preserve">KANIT 31: </w:t>
      </w:r>
      <w:r>
        <w:rPr>
          <w:rFonts w:ascii="Times New Roman" w:hAnsi="Times New Roman" w:cs="Times New Roman"/>
        </w:rPr>
        <w:t>Sektörel İş birliği Komisyonu’nun 05.01.2026 tarih ve 36553849-100-144775 sayılı yazısı.</w:t>
      </w:r>
      <w:bookmarkEnd w:id="25"/>
    </w:p>
    <w:p>
      <w:pPr>
        <w:spacing w:before="120" w:after="120" w:line="360" w:lineRule="auto"/>
        <w:jc w:val="both"/>
        <w:rPr>
          <w:rFonts w:ascii="Times New Roman" w:hAnsi="Times New Roman" w:cs="Times New Roman"/>
        </w:rPr>
      </w:pPr>
      <w:bookmarkStart w:id="26" w:name="KANIT32"/>
      <w:r>
        <w:rPr>
          <w:rFonts w:ascii="Times New Roman" w:hAnsi="Times New Roman" w:cs="Times New Roman"/>
          <w:b/>
          <w:bCs/>
        </w:rPr>
        <w:t xml:space="preserve">KANIT 32: </w:t>
      </w:r>
      <w:r>
        <w:rPr>
          <w:rFonts w:ascii="Times New Roman" w:hAnsi="Times New Roman" w:cs="Times New Roman"/>
        </w:rPr>
        <w:t>Bilgisayar Laboratuvarı Komisyonu’nun 09.01.2026 tarih ve E-83883360-000-146314 sayılı yazısı.</w:t>
      </w:r>
      <w:bookmarkEnd w:id="26"/>
    </w:p>
    <w:p>
      <w:pPr>
        <w:spacing w:before="120" w:after="120" w:line="360" w:lineRule="auto"/>
        <w:jc w:val="both"/>
        <w:rPr>
          <w:rFonts w:ascii="Times New Roman" w:hAnsi="Times New Roman" w:cs="Times New Roman"/>
        </w:rPr>
      </w:pPr>
      <w:bookmarkStart w:id="27" w:name="KANIT33"/>
      <w:r>
        <w:rPr>
          <w:rFonts w:ascii="Times New Roman" w:hAnsi="Times New Roman" w:cs="Times New Roman"/>
          <w:b/>
          <w:bCs/>
        </w:rPr>
        <w:t xml:space="preserve">KANIT 33: </w:t>
      </w:r>
      <w:r>
        <w:rPr>
          <w:rFonts w:ascii="Times New Roman" w:hAnsi="Times New Roman" w:cs="Times New Roman"/>
        </w:rPr>
        <w:t>Engelsiz Birim Danışmanlığı Komisyonu’nun 09.01.2026 tarih ve E-83883360-000-146314 sayılı yazısı.</w:t>
      </w:r>
    </w:p>
    <w:p>
      <w:pPr>
        <w:spacing w:before="120" w:after="120" w:line="360" w:lineRule="auto"/>
        <w:jc w:val="both"/>
        <w:rPr>
          <w:rFonts w:ascii="Times New Roman" w:hAnsi="Times New Roman" w:cs="Times New Roman"/>
        </w:rPr>
      </w:pPr>
      <w:bookmarkStart w:id="28" w:name="KANIT34"/>
      <w:r>
        <w:rPr>
          <w:rFonts w:ascii="Times New Roman" w:hAnsi="Times New Roman" w:cs="Times New Roman"/>
          <w:b/>
          <w:bCs/>
        </w:rPr>
        <w:t xml:space="preserve">KANIT 34: </w:t>
      </w:r>
      <w:r>
        <w:rPr>
          <w:rFonts w:ascii="Times New Roman" w:hAnsi="Times New Roman" w:cs="Times New Roman"/>
        </w:rPr>
        <w:t>22.04.2025 tarihli ve 2025/11 sayılı Yönetim Kurulu Kararı</w:t>
      </w:r>
    </w:p>
    <w:p>
      <w:pPr>
        <w:spacing w:before="120" w:after="120" w:line="360" w:lineRule="auto"/>
        <w:jc w:val="both"/>
        <w:rPr>
          <w:rFonts w:ascii="Times New Roman" w:hAnsi="Times New Roman" w:cs="Times New Roman"/>
        </w:rPr>
      </w:pPr>
      <w:bookmarkStart w:id="29" w:name="KANIT35"/>
      <w:r>
        <w:rPr>
          <w:rFonts w:ascii="Times New Roman" w:hAnsi="Times New Roman" w:cs="Times New Roman"/>
          <w:b/>
          <w:bCs/>
        </w:rPr>
        <w:t xml:space="preserve">KANIT 35: </w:t>
      </w:r>
      <w:r>
        <w:rPr>
          <w:rFonts w:ascii="Times New Roman" w:hAnsi="Times New Roman" w:cs="Times New Roman"/>
        </w:rPr>
        <w:t>15.01.2025 tarih ve 2025/02 sayılı Yönetim Kurulu Kararı</w:t>
      </w:r>
      <w:bookmarkEnd w:id="29"/>
    </w:p>
    <w:p>
      <w:pPr>
        <w:spacing w:before="120" w:after="120" w:line="360" w:lineRule="auto"/>
        <w:jc w:val="both"/>
        <w:rPr>
          <w:rFonts w:ascii="Times New Roman" w:hAnsi="Times New Roman" w:cs="Times New Roman"/>
        </w:rPr>
      </w:pPr>
      <w:bookmarkStart w:id="30" w:name="KANIT36"/>
      <w:r>
        <w:rPr>
          <w:rFonts w:ascii="Times New Roman" w:hAnsi="Times New Roman" w:cs="Times New Roman"/>
          <w:b/>
          <w:bCs/>
        </w:rPr>
        <w:t xml:space="preserve">KANIT 36: </w:t>
      </w:r>
      <w:r>
        <w:rPr>
          <w:rFonts w:ascii="Times New Roman" w:hAnsi="Times New Roman" w:cs="Times New Roman"/>
        </w:rPr>
        <w:t>08.05.2025 tarihli ve 2025/09 sayılı Yüksekokul Kurul Kararı</w:t>
      </w:r>
      <w:bookmarkEnd w:id="30"/>
    </w:p>
    <w:p>
      <w:pPr>
        <w:spacing w:before="120" w:after="120" w:line="360" w:lineRule="auto"/>
        <w:jc w:val="both"/>
        <w:rPr>
          <w:rFonts w:ascii="Times New Roman" w:hAnsi="Times New Roman" w:cs="Times New Roman"/>
        </w:rPr>
      </w:pPr>
      <w:bookmarkStart w:id="31" w:name="KANIT37"/>
      <w:r>
        <w:rPr>
          <w:rFonts w:ascii="Times New Roman" w:hAnsi="Times New Roman" w:cs="Times New Roman"/>
          <w:b/>
          <w:bCs/>
        </w:rPr>
        <w:t xml:space="preserve">KANIT 37: </w:t>
      </w:r>
      <w:r>
        <w:rPr>
          <w:rFonts w:ascii="Times New Roman" w:hAnsi="Times New Roman" w:cs="Times New Roman"/>
        </w:rPr>
        <w:t>06.01.2025 tarihli ve 2025/01 sayılı Yönetim Kurulu Kararı</w:t>
      </w:r>
      <w:bookmarkEnd w:id="31"/>
    </w:p>
    <w:p>
      <w:pPr>
        <w:spacing w:before="120" w:after="120" w:line="360" w:lineRule="auto"/>
        <w:jc w:val="both"/>
        <w:rPr>
          <w:rFonts w:ascii="Times New Roman" w:hAnsi="Times New Roman" w:cs="Times New Roman"/>
        </w:rPr>
      </w:pPr>
    </w:p>
    <w:bookmarkEnd w:id="27"/>
    <w:bookmarkEnd w:id="28"/>
    <w:p>
      <w:pPr>
        <w:spacing w:before="120" w:after="120" w:line="360" w:lineRule="auto"/>
        <w:jc w:val="both"/>
        <w:rPr>
          <w:rFonts w:ascii="Times New Roman" w:hAnsi="Times New Roman" w:cs="Times New Roman"/>
        </w:rPr>
      </w:pPr>
    </w:p>
    <w:sect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crosoft Himalaya">
    <w:panose1 w:val="01010100010101010101"/>
    <w:charset w:val="00"/>
    <w:family w:val="auto"/>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Metin Kutusu 1" o:spid="_x0000_s1026" type="#_x0000_t202" style="position:absolute;margin-left:289.2pt;margin-top:815.35pt;width:18.05pt;height:14.2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" filled="f" stroked="f">
          <v:textbox inset="0,0,0,0">
            <w:txbxContent>
              <w:p>
                <w:pPr>
                  <w:spacing w:before="10"/>
                  <w:ind w:left="60"/>
                </w:pPr>
                <w:r>
                  <w:rPr>
                    <w:spacing w:val="-5"/>
                  </w:rPr>
                  <w:fldChar w:fldCharType="begin"/>
                </w:r>
                <w:r>
                  <w:rPr>
                    <w:spacing w:val="-5"/>
                  </w:rPr>
                  <w:instrText xml:space="preserve"> PAGE </w:instrText>
                </w:r>
                <w:r>
                  <w:rPr>
                    <w:spacing w:val="-5"/>
                  </w:rPr>
                  <w:fldChar w:fldCharType="separate"/>
                </w:r>
                <w:r>
                  <w:rPr>
                    <w:noProof/>
                    <w:spacing w:val="-5"/>
                  </w:rPr>
                  <w:t>47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78D2"/>
    <w:multiLevelType w:val="hybridMultilevel"/>
    <w:tmpl w:val="6BC6EB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9E36FF"/>
    <w:multiLevelType w:val="multilevel"/>
    <w:tmpl w:val="2CC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244FB"/>
    <w:multiLevelType w:val="multilevel"/>
    <w:tmpl w:val="1F405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6DD2252"/>
    <w:multiLevelType w:val="multilevel"/>
    <w:tmpl w:val="A18C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5650C"/>
    <w:multiLevelType w:val="hybridMultilevel"/>
    <w:tmpl w:val="ADF8B2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2D107D1E"/>
    <w:multiLevelType w:val="multilevel"/>
    <w:tmpl w:val="8130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A590D"/>
    <w:multiLevelType w:val="hybridMultilevel"/>
    <w:tmpl w:val="00D4FE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67A25FB"/>
    <w:multiLevelType w:val="multilevel"/>
    <w:tmpl w:val="D374B37C"/>
    <w:lvl w:ilvl="0">
      <w:start w:val="1"/>
      <w:numFmt w:val="decimal"/>
      <w:lvlText w:val="%1."/>
      <w:lvlJc w:val="left"/>
      <w:pPr>
        <w:ind w:left="440" w:hanging="241"/>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560" w:hanging="36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00" w:hanging="228"/>
      </w:pPr>
      <w:rPr>
        <w:rFonts w:ascii="Arial" w:eastAsia="Arial" w:hAnsi="Arial" w:cs="Arial" w:hint="default"/>
        <w:b w:val="0"/>
        <w:bCs w:val="0"/>
        <w:i/>
        <w:iCs/>
        <w:spacing w:val="0"/>
        <w:w w:val="100"/>
        <w:sz w:val="24"/>
        <w:szCs w:val="24"/>
        <w:lang w:val="tr-TR" w:eastAsia="en-US" w:bidi="ar-SA"/>
      </w:rPr>
    </w:lvl>
    <w:lvl w:ilvl="3">
      <w:numFmt w:val="bullet"/>
      <w:lvlText w:val="•"/>
      <w:lvlJc w:val="left"/>
      <w:pPr>
        <w:ind w:left="1668" w:hanging="228"/>
      </w:pPr>
      <w:rPr>
        <w:rFonts w:hint="default"/>
        <w:lang w:val="tr-TR" w:eastAsia="en-US" w:bidi="ar-SA"/>
      </w:rPr>
    </w:lvl>
    <w:lvl w:ilvl="4">
      <w:numFmt w:val="bullet"/>
      <w:lvlText w:val="•"/>
      <w:lvlJc w:val="left"/>
      <w:pPr>
        <w:ind w:left="2776" w:hanging="228"/>
      </w:pPr>
      <w:rPr>
        <w:rFonts w:hint="default"/>
        <w:lang w:val="tr-TR" w:eastAsia="en-US" w:bidi="ar-SA"/>
      </w:rPr>
    </w:lvl>
    <w:lvl w:ilvl="5">
      <w:numFmt w:val="bullet"/>
      <w:lvlText w:val="•"/>
      <w:lvlJc w:val="left"/>
      <w:pPr>
        <w:ind w:left="3884" w:hanging="228"/>
      </w:pPr>
      <w:rPr>
        <w:rFonts w:hint="default"/>
        <w:lang w:val="tr-TR" w:eastAsia="en-US" w:bidi="ar-SA"/>
      </w:rPr>
    </w:lvl>
    <w:lvl w:ilvl="6">
      <w:numFmt w:val="bullet"/>
      <w:lvlText w:val="•"/>
      <w:lvlJc w:val="left"/>
      <w:pPr>
        <w:ind w:left="4993" w:hanging="228"/>
      </w:pPr>
      <w:rPr>
        <w:rFonts w:hint="default"/>
        <w:lang w:val="tr-TR" w:eastAsia="en-US" w:bidi="ar-SA"/>
      </w:rPr>
    </w:lvl>
    <w:lvl w:ilvl="7">
      <w:numFmt w:val="bullet"/>
      <w:lvlText w:val="•"/>
      <w:lvlJc w:val="left"/>
      <w:pPr>
        <w:ind w:left="6101" w:hanging="228"/>
      </w:pPr>
      <w:rPr>
        <w:rFonts w:hint="default"/>
        <w:lang w:val="tr-TR" w:eastAsia="en-US" w:bidi="ar-SA"/>
      </w:rPr>
    </w:lvl>
    <w:lvl w:ilvl="8">
      <w:numFmt w:val="bullet"/>
      <w:lvlText w:val="•"/>
      <w:lvlJc w:val="left"/>
      <w:pPr>
        <w:ind w:left="7209" w:hanging="228"/>
      </w:pPr>
      <w:rPr>
        <w:rFonts w:hint="default"/>
        <w:lang w:val="tr-TR" w:eastAsia="en-US" w:bidi="ar-SA"/>
      </w:rPr>
    </w:lvl>
  </w:abstractNum>
  <w:abstractNum w:abstractNumId="8">
    <w:nsid w:val="39117562"/>
    <w:multiLevelType w:val="multilevel"/>
    <w:tmpl w:val="E324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DD1ED7"/>
    <w:multiLevelType w:val="hybridMultilevel"/>
    <w:tmpl w:val="891453E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41F0460B"/>
    <w:multiLevelType w:val="hybridMultilevel"/>
    <w:tmpl w:val="AB78A964"/>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AB25FAB"/>
    <w:multiLevelType w:val="multilevel"/>
    <w:tmpl w:val="B6BC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35160D"/>
    <w:multiLevelType w:val="hybridMultilevel"/>
    <w:tmpl w:val="64E060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9256A1"/>
    <w:multiLevelType w:val="hybridMultilevel"/>
    <w:tmpl w:val="4152413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5BA87AEF"/>
    <w:multiLevelType w:val="multilevel"/>
    <w:tmpl w:val="D2EE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7B16B3"/>
    <w:multiLevelType w:val="multilevel"/>
    <w:tmpl w:val="E99E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5906F1"/>
    <w:multiLevelType w:val="hybridMultilevel"/>
    <w:tmpl w:val="D2EC680C"/>
    <w:lvl w:ilvl="0" w:tplc="C8D62D9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EB545C"/>
    <w:multiLevelType w:val="multilevel"/>
    <w:tmpl w:val="3FB2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75B83"/>
    <w:multiLevelType w:val="multilevel"/>
    <w:tmpl w:val="F5E6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57798F"/>
    <w:multiLevelType w:val="hybridMultilevel"/>
    <w:tmpl w:val="86FAA7BE"/>
    <w:lvl w:ilvl="0" w:tplc="C8D62D9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E1543A2"/>
    <w:multiLevelType w:val="multilevel"/>
    <w:tmpl w:val="D0E6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7A4F88"/>
    <w:multiLevelType w:val="hybridMultilevel"/>
    <w:tmpl w:val="95CAC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5"/>
  </w:num>
  <w:num w:numId="4">
    <w:abstractNumId w:val="20"/>
  </w:num>
  <w:num w:numId="5">
    <w:abstractNumId w:val="2"/>
  </w:num>
  <w:num w:numId="6">
    <w:abstractNumId w:val="10"/>
  </w:num>
  <w:num w:numId="7">
    <w:abstractNumId w:val="6"/>
  </w:num>
  <w:num w:numId="8">
    <w:abstractNumId w:val="12"/>
  </w:num>
  <w:num w:numId="9">
    <w:abstractNumId w:val="9"/>
  </w:num>
  <w:num w:numId="10">
    <w:abstractNumId w:val="4"/>
  </w:num>
  <w:num w:numId="11">
    <w:abstractNumId w:val="13"/>
  </w:num>
  <w:num w:numId="12">
    <w:abstractNumId w:val="7"/>
  </w:num>
  <w:num w:numId="13">
    <w:abstractNumId w:val="8"/>
  </w:num>
  <w:num w:numId="14">
    <w:abstractNumId w:val="14"/>
  </w:num>
  <w:num w:numId="15">
    <w:abstractNumId w:val="1"/>
  </w:num>
  <w:num w:numId="16">
    <w:abstractNumId w:val="0"/>
  </w:num>
  <w:num w:numId="17">
    <w:abstractNumId w:val="3"/>
  </w:num>
  <w:num w:numId="18">
    <w:abstractNumId w:val="15"/>
  </w:num>
  <w:num w:numId="19">
    <w:abstractNumId w:val="11"/>
  </w:num>
  <w:num w:numId="20">
    <w:abstractNumId w:val="21"/>
  </w:num>
  <w:num w:numId="21">
    <w:abstractNumId w:val="16"/>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tr-T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1"/>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1"/>
    <w:unhideWhenUsed/>
    <w:qFormat/>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Pr>
      <w:rFonts w:eastAsiaTheme="majorEastAsia" w:cstheme="majorBidi"/>
      <w:color w:val="272727" w:themeColor="text1" w:themeTint="D8"/>
    </w:rPr>
  </w:style>
  <w:style w:type="paragraph" w:styleId="KonuBal">
    <w:name w:val="Title"/>
    <w:basedOn w:val="Normal"/>
    <w:next w:val="Normal"/>
    <w:link w:val="KonuBa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pPr>
      <w:spacing w:before="160"/>
      <w:jc w:val="center"/>
    </w:pPr>
    <w:rPr>
      <w:i/>
      <w:iCs/>
      <w:color w:val="404040" w:themeColor="text1" w:themeTint="BF"/>
    </w:rPr>
  </w:style>
  <w:style w:type="character" w:customStyle="1" w:styleId="TrnakChar">
    <w:name w:val="Tırnak Char"/>
    <w:basedOn w:val="VarsaylanParagrafYazTipi"/>
    <w:link w:val="Trnak"/>
    <w:uiPriority w:val="29"/>
    <w:rPr>
      <w:i/>
      <w:iCs/>
      <w:color w:val="404040" w:themeColor="text1" w:themeTint="BF"/>
    </w:rPr>
  </w:style>
  <w:style w:type="paragraph" w:styleId="ListeParagraf">
    <w:name w:val="List Paragraph"/>
    <w:basedOn w:val="Normal"/>
    <w:uiPriority w:val="34"/>
    <w:qFormat/>
    <w:pPr>
      <w:ind w:left="720"/>
      <w:contextualSpacing/>
    </w:pPr>
  </w:style>
  <w:style w:type="character" w:styleId="GlVurgulama">
    <w:name w:val="Intense Emphasis"/>
    <w:basedOn w:val="VarsaylanParagrafYazTipi"/>
    <w:uiPriority w:val="21"/>
    <w:qFormat/>
    <w:rPr>
      <w:i/>
      <w:iCs/>
      <w:color w:val="2F5496" w:themeColor="accent1" w:themeShade="BF"/>
    </w:rPr>
  </w:style>
  <w:style w:type="paragraph" w:styleId="KeskinTrnak">
    <w:name w:val="Intense Quote"/>
    <w:basedOn w:val="Normal"/>
    <w:next w:val="Normal"/>
    <w:link w:val="KeskinTrnak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Pr>
      <w:i/>
      <w:iCs/>
      <w:color w:val="2F5496" w:themeColor="accent1" w:themeShade="BF"/>
    </w:rPr>
  </w:style>
  <w:style w:type="character" w:styleId="GlBavuru">
    <w:name w:val="Intense Reference"/>
    <w:basedOn w:val="VarsaylanParagrafYazTipi"/>
    <w:uiPriority w:val="32"/>
    <w:qFormat/>
    <w:rPr>
      <w:b/>
      <w:bCs/>
      <w:smallCaps/>
      <w:color w:val="2F5496" w:themeColor="accent1" w:themeShade="BF"/>
      <w:spacing w:val="5"/>
    </w:rPr>
  </w:style>
  <w:style w:type="paragraph" w:styleId="GvdeMetni">
    <w:name w:val="Body Text"/>
    <w:basedOn w:val="Normal"/>
    <w:link w:val="GvdeMetniChar"/>
    <w:uiPriority w:val="1"/>
    <w:qFormat/>
    <w:pPr>
      <w:widowControl w:val="0"/>
      <w:autoSpaceDE w:val="0"/>
      <w:autoSpaceDN w:val="0"/>
      <w:spacing w:after="0" w:line="240" w:lineRule="auto"/>
    </w:pPr>
    <w:rPr>
      <w:rFonts w:ascii="Times New Roman" w:eastAsia="Times New Roman" w:hAnsi="Times New Roman" w:cs="Times New Roman"/>
      <w:kern w:val="0"/>
    </w:rPr>
  </w:style>
  <w:style w:type="character" w:customStyle="1" w:styleId="GvdeMetniChar">
    <w:name w:val="Gövde Metni Char"/>
    <w:basedOn w:val="VarsaylanParagrafYazTipi"/>
    <w:link w:val="GvdeMetni"/>
    <w:uiPriority w:val="1"/>
    <w:rPr>
      <w:rFonts w:ascii="Times New Roman" w:eastAsia="Times New Roman" w:hAnsi="Times New Roman" w:cs="Times New Roman"/>
      <w:kern w:val="0"/>
    </w:rPr>
  </w:style>
  <w:style w:type="character" w:styleId="Kpr">
    <w:name w:val="Hyperlink"/>
    <w:basedOn w:val="VarsaylanParagrafYazTipi"/>
    <w:uiPriority w:val="99"/>
    <w:unhideWhenUsed/>
    <w:rPr>
      <w:color w:val="0563C1" w:themeColor="hyperlink"/>
      <w:u w:val="single"/>
    </w:rPr>
  </w:style>
  <w:style w:type="table" w:styleId="TabloKlavuzu">
    <w:name w:val="Table Grid"/>
    <w:basedOn w:val="NormalTablo"/>
    <w:uiPriority w:val="39"/>
    <w:pPr>
      <w:widowControl w:val="0"/>
      <w:autoSpaceDE w:val="0"/>
      <w:autoSpaceDN w:val="0"/>
      <w:spacing w:after="0" w:line="240" w:lineRule="auto"/>
    </w:pPr>
    <w:rPr>
      <w:kern w:val="0"/>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kern w:val="0"/>
      <w:lang w:eastAsia="tr-T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nan.kuzucu@giresun.edu.tr" TargetMode="External"/><Relationship Id="rId18" Type="http://schemas.openxmlformats.org/officeDocument/2006/relationships/hyperlink" Target="https://alucramyo.giresun.edu.tr/tr/news-detail/halkla-iliskiler-ve-tanitim-tanitim/7181" TargetMode="External"/><Relationship Id="rId26" Type="http://schemas.openxmlformats.org/officeDocument/2006/relationships/hyperlink" Target="https://alucramyo.giresun.edu.tr/tr/news-detail/kurulum-asamasinda/9885" TargetMode="External"/><Relationship Id="rId39" Type="http://schemas.openxmlformats.org/officeDocument/2006/relationships/hyperlink" Target="https://www.tubitak.gov.tr/" TargetMode="External"/><Relationship Id="rId21" Type="http://schemas.openxmlformats.org/officeDocument/2006/relationships/hyperlink" Target="https://alucramyo.giresun.edu.tr/tr/news-detail/laborant-ve-veteriner-saglik-tanitim/7179" TargetMode="External"/><Relationship Id="rId34" Type="http://schemas.openxmlformats.org/officeDocument/2006/relationships/hyperlink" Target="https://medek.org.tr/degerlendiriciler" TargetMode="External"/><Relationship Id="rId42" Type="http://schemas.openxmlformats.org/officeDocument/2006/relationships/hyperlink" Target="https://www.mevzuat.gov.tr/mevzuatmetin/1.5.2547.pdf" TargetMode="External"/><Relationship Id="rId47" Type="http://schemas.openxmlformats.org/officeDocument/2006/relationships/hyperlink" Target="https://www.mevzuat.gov.tr/File/GeneratePdf?mevzuatNo=10155&amp;mevzuatTur=KurumVeKurulusYonetmeligi&amp;mevzuatTertip=5" TargetMode="External"/><Relationship Id="rId50" Type="http://schemas.openxmlformats.org/officeDocument/2006/relationships/hyperlink" Target="https://alucramyo.giresun.edu.tr/tr/announcement-detail/turk-kizilayinin-yanindayiz/11116" TargetMode="External"/><Relationship Id="rId55" Type="http://schemas.openxmlformats.org/officeDocument/2006/relationships/hyperlink" Target="https://alucramyo.giresun.edu.tr/tr/announcement-detail/aktepe-koyunde-ciftcilere-yonelik-bilgilendirme-toplantisi-duzenlendi/11429"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ucramyo.giresun.edu.tr/tr/news-detail/bankacilik-ve-sigortacilik-tanitim/7180" TargetMode="External"/><Relationship Id="rId20" Type="http://schemas.openxmlformats.org/officeDocument/2006/relationships/hyperlink" Target="https://saglikkurumlariisletmeciligi.giresun.edu.tr/" TargetMode="External"/><Relationship Id="rId29" Type="http://schemas.openxmlformats.org/officeDocument/2006/relationships/hyperlink" Target="https://view.officeapps.live.com/op/view.aspx?src=https%3A%2F%2Falucramyo.giresun.edu.tr%2FFiles%2FckFiles%2Falucramyo-giresun-edu-tr%2F2025%2Fbrimtoplanti%2Fbirimrpr%2FAlucra2024YiliBirimFaaliyetRaporu.docx&amp;wdOrigin=BROWSELINK" TargetMode="External"/><Relationship Id="rId41" Type="http://schemas.openxmlformats.org/officeDocument/2006/relationships/hyperlink" Target="https://www.kosgeb.gov.tr/" TargetMode="External"/><Relationship Id="rId54" Type="http://schemas.openxmlformats.org/officeDocument/2006/relationships/hyperlink" Target="https://alucramyo.giresun.edu.tr/tr/announcement-detail/ogrenci-topluluklari-tanitimi-etkinligi-yapildi/1126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lucramyo" TargetMode="External"/><Relationship Id="rId24" Type="http://schemas.openxmlformats.org/officeDocument/2006/relationships/hyperlink" Target="https://alucramyo.giresun.edu.tr/tr/news-detail/kurulum-asamasinda/9885" TargetMode="External"/><Relationship Id="rId32" Type="http://schemas.openxmlformats.org/officeDocument/2006/relationships/hyperlink" Target="https://www.giresun.edu.tr/tr/news-detail/rektor%E2%80%93ogrenci-bulusmasi-gerceklestirildi/9114" TargetMode="External"/><Relationship Id="rId37" Type="http://schemas.openxmlformats.org/officeDocument/2006/relationships/hyperlink" Target="https://ebap.giresun.edu.tr/" TargetMode="External"/><Relationship Id="rId40" Type="http://schemas.openxmlformats.org/officeDocument/2006/relationships/hyperlink" Target="https://ebap.giresun.edu.tr/" TargetMode="External"/><Relationship Id="rId45" Type="http://schemas.openxmlformats.org/officeDocument/2006/relationships/hyperlink" Target="https://www.mevzuat.gov.tr/mevzuat?MevzuatNo=28947&amp;MevzuatTur=7&amp;MevzuatTertip=5" TargetMode="External"/><Relationship Id="rId53" Type="http://schemas.openxmlformats.org/officeDocument/2006/relationships/hyperlink" Target="https://alucramyo.giresun.edu.tr/tr/announcement-detail/ogreciler-sarikamis-harek%C3%A2ti-anisina-yurudu/11511" TargetMode="External"/><Relationship Id="rId58" Type="http://schemas.openxmlformats.org/officeDocument/2006/relationships/hyperlink" Target="https://alucramyo.giresun.edu.tr/tr/announcement-detail/yuksekokul-nezaket-ziyaretlerine-devam-ediyor/11195" TargetMode="External"/><Relationship Id="rId5" Type="http://schemas.openxmlformats.org/officeDocument/2006/relationships/webSettings" Target="webSettings.xml"/><Relationship Id="rId15" Type="http://schemas.openxmlformats.org/officeDocument/2006/relationships/hyperlink" Target="mailto:recai.alacahan@giresun.edu.tr" TargetMode="External"/><Relationship Id="rId23" Type="http://schemas.openxmlformats.org/officeDocument/2006/relationships/hyperlink" Target="https://alucramyo.giresun.edu.tr/tr/news-detail/sosyal-guvenlik/12618" TargetMode="External"/><Relationship Id="rId28" Type="http://schemas.openxmlformats.org/officeDocument/2006/relationships/hyperlink" Target="https://ebp.giresun.edu.tr/DereceProgramlari/Detay/0/646/1752/932001" TargetMode="External"/><Relationship Id="rId36" Type="http://schemas.openxmlformats.org/officeDocument/2006/relationships/hyperlink" Target="https://akademik.yok.gov.tr/AkademikArama/" TargetMode="External"/><Relationship Id="rId49" Type="http://schemas.openxmlformats.org/officeDocument/2006/relationships/hyperlink" Target="https://alucramyo.giresun.edu.tr/tr/page/2020-yili-faaliyet-raporu/7778" TargetMode="External"/><Relationship Id="rId57" Type="http://schemas.openxmlformats.org/officeDocument/2006/relationships/hyperlink" Target="https://alucramyo.giresun.edu.tr/tr/announcement-detail/doludere-koyunde-ciftcilere-bilgilendirme-toplantisi-yapildi/11546" TargetMode="External"/><Relationship Id="rId61" Type="http://schemas.openxmlformats.org/officeDocument/2006/relationships/image" Target="media/image2.png"/><Relationship Id="rId10" Type="http://schemas.openxmlformats.org/officeDocument/2006/relationships/hyperlink" Target="https://www.instagram.com/alucramyo" TargetMode="External"/><Relationship Id="rId19" Type="http://schemas.openxmlformats.org/officeDocument/2006/relationships/hyperlink" Target="https://alucramyo.giresun.edu.tr/tr/announcement-detail/medya-ve-iletisim-programi-iletisimin-gucunu-kesfedin/8397" TargetMode="External"/><Relationship Id="rId31" Type="http://schemas.openxmlformats.org/officeDocument/2006/relationships/hyperlink" Target="https://alucramyo.giresun.edu.tr/tr/announcement-detail/sokak-hayvanlari-icin-ornek-is-birligi/11574" TargetMode="External"/><Relationship Id="rId44" Type="http://schemas.openxmlformats.org/officeDocument/2006/relationships/hyperlink" Target="https://str.giresun.edu.tr/Files/UploadFiles/giresun-universitesi-ogre...-5032021094950.pdf" TargetMode="External"/><Relationship Id="rId52" Type="http://schemas.openxmlformats.org/officeDocument/2006/relationships/hyperlink" Target="https://alucramyo.giresun.edu.tr/tr/announcement-detail/alucrada-filistine-destek-yuruyusu/11067" TargetMode="External"/><Relationship Id="rId60" Type="http://schemas.openxmlformats.org/officeDocument/2006/relationships/hyperlink" Target="https://alucramyo.giresun.edu.tr/tr/announcement-detail/alucra-kalkinma-ve-egitim-vakfi-egitime-destek-veremeye-devam-edecek/1104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irac.sirin@giresun.edu.tr" TargetMode="External"/><Relationship Id="rId22" Type="http://schemas.openxmlformats.org/officeDocument/2006/relationships/hyperlink" Target="https://alucramyo.giresun.edu.tr/tr/news-detail/tibbi-dokumantasyon-ve-sekreterlik/12617" TargetMode="External"/><Relationship Id="rId27" Type="http://schemas.openxmlformats.org/officeDocument/2006/relationships/hyperlink" Target="https://alucramyo.giresun.edu.tr/tr/announcement-detail/veterinerlik-mezunlari-ogrencilere-tecrubelerini-anlatti/11010" TargetMode="External"/><Relationship Id="rId30" Type="http://schemas.openxmlformats.org/officeDocument/2006/relationships/hyperlink" Target="https://ebp.giresun.edu.tr/DereceProgramlari/0" TargetMode="External"/><Relationship Id="rId35" Type="http://schemas.openxmlformats.org/officeDocument/2006/relationships/hyperlink" Target="https://abvs.giresun.edu.tr/" TargetMode="External"/><Relationship Id="rId43" Type="http://schemas.openxmlformats.org/officeDocument/2006/relationships/hyperlink" Target="https://www.mevzuat.gov.tr/mevzuat?MevzuatNo=24672&amp;MevzuatTur=7&amp;MevzuatTertip=5" TargetMode="External"/><Relationship Id="rId48" Type="http://schemas.openxmlformats.org/officeDocument/2006/relationships/hyperlink" Target="https://alucramyo.giresun.edu.tr/tr/page/kalite/4931" TargetMode="External"/><Relationship Id="rId56" Type="http://schemas.openxmlformats.org/officeDocument/2006/relationships/hyperlink" Target="https://alucramyo.giresun.edu.tr/tr/announcement-detail/yesilyurt-koyu-ureticileri-hayvancilik-ve-tarimsal-uretim-hakkinda-bilgilendirildi/11521" TargetMode="External"/><Relationship Id="rId8" Type="http://schemas.openxmlformats.org/officeDocument/2006/relationships/image" Target="media/image1.png"/><Relationship Id="rId51" Type="http://schemas.openxmlformats.org/officeDocument/2006/relationships/hyperlink" Target="https://alucramyo.giresun.edu.tr/tr/announcement-detail/genclik-ve-guvenli-gelecek-bilgilendirme-programi-yapildi/11118" TargetMode="External"/><Relationship Id="rId3" Type="http://schemas.openxmlformats.org/officeDocument/2006/relationships/styles" Target="styles.xml"/><Relationship Id="rId12" Type="http://schemas.openxmlformats.org/officeDocument/2006/relationships/hyperlink" Target="mailto:mehmet.akif.sari@giresun.edu.tr" TargetMode="External"/><Relationship Id="rId17" Type="http://schemas.openxmlformats.org/officeDocument/2006/relationships/hyperlink" Target="https://alucramyo.giresun.edu.tr/tr/news-detail/maliye-tanitim/7182" TargetMode="External"/><Relationship Id="rId25" Type="http://schemas.openxmlformats.org/officeDocument/2006/relationships/hyperlink" Target="https://alucramyo.giresun.edu.tr/tr/news-detail/kurulum-asamasinda/9885" TargetMode="External"/><Relationship Id="rId33" Type="http://schemas.openxmlformats.org/officeDocument/2006/relationships/hyperlink" Target="https://www.giresun.edu.tr/Files/ckFiles/giresun-edu-tr/akademik%20tesvik%20sonuc.pdf" TargetMode="External"/><Relationship Id="rId38" Type="http://schemas.openxmlformats.org/officeDocument/2006/relationships/hyperlink" Target="https://pdo.giresun.edu.tr/" TargetMode="External"/><Relationship Id="rId46" Type="http://schemas.openxmlformats.org/officeDocument/2006/relationships/hyperlink" Target="https://www.mevzuat.gov.tr/File/GeneratePdf?mevzuatNo=27923&amp;mevzuatTur=KurumVeKurulusYonetmeligi&amp;mevzuatTertip=5" TargetMode="External"/><Relationship Id="rId59" Type="http://schemas.openxmlformats.org/officeDocument/2006/relationships/hyperlink" Target="https://alucramyo.giresun.edu.tr/tr/announcement-detail/fidanlar-toprakla-bulustu/11194"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6FAF2-4C92-4182-869C-96083A75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47</Pages>
  <Words>17733</Words>
  <Characters>101080</Characters>
  <Application>Microsoft Office Word</Application>
  <DocSecurity>0</DocSecurity>
  <Lines>842</Lines>
  <Paragraphs>237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serdal karapinar</dc:creator>
  <cp:keywords/>
  <dc:description/>
  <cp:lastModifiedBy>user</cp:lastModifiedBy>
  <cp:revision>23</cp:revision>
  <dcterms:created xsi:type="dcterms:W3CDTF">2026-02-24T07:39:00Z</dcterms:created>
  <dcterms:modified xsi:type="dcterms:W3CDTF">2026-04-06T06:43:00Z</dcterms:modified>
</cp:coreProperties>
</file>